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C95" w:rsidRDefault="006B1EC1">
      <w:pPr>
        <w:shd w:val="clear" w:color="auto" w:fill="FFFFFF"/>
        <w:spacing w:line="300" w:lineRule="atLeast"/>
        <w:jc w:val="center"/>
        <w:rPr>
          <w:rFonts w:ascii="方正小标宋简体" w:eastAsia="方正小标宋简体" w:hAnsi="方正小标宋简体" w:cs="方正小标宋简体"/>
          <w:bCs/>
          <w:sz w:val="44"/>
          <w:szCs w:val="44"/>
          <w:shd w:val="clear" w:color="auto" w:fill="FFFFFF"/>
          <w:lang w:bidi="ar"/>
        </w:rPr>
      </w:pPr>
      <w:r>
        <w:rPr>
          <w:rFonts w:ascii="方正小标宋简体" w:eastAsia="方正小标宋简体" w:hAnsi="方正小标宋简体" w:cs="方正小标宋简体" w:hint="eastAsia"/>
          <w:bCs/>
          <w:sz w:val="44"/>
          <w:szCs w:val="44"/>
          <w:shd w:val="clear" w:color="auto" w:fill="FFFFFF"/>
          <w:lang w:bidi="ar"/>
        </w:rPr>
        <w:t>双周粮油市场价格监测报告</w:t>
      </w:r>
    </w:p>
    <w:p w:rsidR="00763C95" w:rsidRDefault="006B1EC1">
      <w:pPr>
        <w:pStyle w:val="New0"/>
        <w:spacing w:line="375" w:lineRule="atLeast"/>
        <w:jc w:val="center"/>
        <w:rPr>
          <w:rFonts w:ascii="方正楷体简体" w:eastAsia="方正楷体简体" w:hAnsi="方正楷体简体" w:cs="方正楷体简体"/>
          <w:sz w:val="32"/>
          <w:szCs w:val="32"/>
          <w:shd w:val="clear" w:color="auto" w:fill="FFFFFF"/>
          <w:lang w:bidi="ar"/>
        </w:rPr>
      </w:pPr>
      <w:r>
        <w:rPr>
          <w:rFonts w:ascii="方正楷体简体" w:eastAsia="方正楷体简体" w:hAnsi="方正楷体简体" w:cs="方正楷体简体" w:hint="eastAsia"/>
          <w:sz w:val="32"/>
          <w:szCs w:val="32"/>
          <w:shd w:val="clear" w:color="auto" w:fill="FFFFFF"/>
          <w:lang w:bidi="ar"/>
        </w:rPr>
        <w:t>（</w:t>
      </w:r>
      <w:r>
        <w:rPr>
          <w:rFonts w:ascii="方正楷体简体" w:eastAsia="方正楷体简体" w:hAnsi="方正楷体简体" w:cs="方正楷体简体" w:hint="eastAsia"/>
          <w:sz w:val="32"/>
          <w:szCs w:val="32"/>
          <w:shd w:val="clear" w:color="auto" w:fill="FFFFFF"/>
          <w:lang w:bidi="ar"/>
        </w:rPr>
        <w:t>9</w:t>
      </w:r>
      <w:r>
        <w:rPr>
          <w:rFonts w:ascii="方正楷体简体" w:eastAsia="方正楷体简体" w:hAnsi="方正楷体简体" w:cs="方正楷体简体" w:hint="eastAsia"/>
          <w:sz w:val="32"/>
          <w:szCs w:val="32"/>
          <w:shd w:val="clear" w:color="auto" w:fill="FFFFFF"/>
          <w:lang w:bidi="ar"/>
        </w:rPr>
        <w:t>月</w:t>
      </w:r>
      <w:r>
        <w:rPr>
          <w:rFonts w:ascii="方正楷体简体" w:eastAsia="方正楷体简体" w:hAnsi="方正楷体简体" w:cs="方正楷体简体" w:hint="eastAsia"/>
          <w:sz w:val="32"/>
          <w:szCs w:val="32"/>
          <w:shd w:val="clear" w:color="auto" w:fill="FFFFFF"/>
          <w:lang w:bidi="ar"/>
        </w:rPr>
        <w:t>1</w:t>
      </w:r>
      <w:r>
        <w:rPr>
          <w:rFonts w:ascii="方正楷体简体" w:eastAsia="方正楷体简体" w:hAnsi="方正楷体简体" w:cs="方正楷体简体" w:hint="eastAsia"/>
          <w:sz w:val="32"/>
          <w:szCs w:val="32"/>
          <w:shd w:val="clear" w:color="auto" w:fill="FFFFFF"/>
          <w:lang w:bidi="ar"/>
        </w:rPr>
        <w:t>日至</w:t>
      </w:r>
      <w:r>
        <w:rPr>
          <w:rFonts w:ascii="方正楷体简体" w:eastAsia="方正楷体简体" w:hAnsi="方正楷体简体" w:cs="方正楷体简体" w:hint="eastAsia"/>
          <w:sz w:val="32"/>
          <w:szCs w:val="32"/>
          <w:shd w:val="clear" w:color="auto" w:fill="FFFFFF"/>
          <w:lang w:bidi="ar"/>
        </w:rPr>
        <w:t>15</w:t>
      </w:r>
      <w:r>
        <w:rPr>
          <w:rFonts w:ascii="方正楷体简体" w:eastAsia="方正楷体简体" w:hAnsi="方正楷体简体" w:cs="方正楷体简体" w:hint="eastAsia"/>
          <w:sz w:val="32"/>
          <w:szCs w:val="32"/>
          <w:shd w:val="clear" w:color="auto" w:fill="FFFFFF"/>
          <w:lang w:bidi="ar"/>
        </w:rPr>
        <w:t>日）</w:t>
      </w:r>
    </w:p>
    <w:p w:rsidR="00763C95" w:rsidRDefault="00763C95">
      <w:pPr>
        <w:pStyle w:val="New0"/>
        <w:spacing w:line="375" w:lineRule="atLeast"/>
        <w:jc w:val="center"/>
        <w:rPr>
          <w:rFonts w:eastAsia="仿宋"/>
          <w:sz w:val="32"/>
          <w:szCs w:val="32"/>
          <w:shd w:val="clear" w:color="auto" w:fill="FFFFFF"/>
          <w:lang w:bidi="ar"/>
        </w:rPr>
      </w:pPr>
    </w:p>
    <w:p w:rsidR="00E81155" w:rsidRDefault="006B1EC1" w:rsidP="00E81155">
      <w:pPr>
        <w:pStyle w:val="New0"/>
        <w:spacing w:line="375" w:lineRule="atLeast"/>
        <w:ind w:firstLineChars="200" w:firstLine="64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sz w:val="32"/>
          <w:szCs w:val="32"/>
          <w:shd w:val="clear" w:color="auto" w:fill="FFFFFF"/>
        </w:rPr>
        <w:t>省内方面，主要粮油品种批零价格保持平稳。国内方面，</w:t>
      </w:r>
      <w:r>
        <w:rPr>
          <w:rFonts w:ascii="Times New Roman" w:eastAsia="方正仿宋简体" w:hAnsi="Times New Roman" w:cs="Times New Roman"/>
          <w:sz w:val="32"/>
          <w:szCs w:val="32"/>
          <w:shd w:val="clear" w:color="auto" w:fill="FFFFFF"/>
        </w:rPr>
        <w:t>主产区早籼稻收购量同比略降，小麦收购量同比大幅下降；国家临储玉米拍卖成交率处于较高水平，成交价格稳定。</w:t>
      </w:r>
      <w:r>
        <w:rPr>
          <w:rFonts w:ascii="Times New Roman" w:eastAsia="方正仿宋简体" w:hAnsi="Times New Roman" w:cs="Times New Roman"/>
          <w:sz w:val="32"/>
          <w:szCs w:val="32"/>
          <w:shd w:val="clear" w:color="auto" w:fill="FFFFFF"/>
        </w:rPr>
        <w:t>国际方面，芝加哥期货交易所（</w:t>
      </w:r>
      <w:r>
        <w:rPr>
          <w:rFonts w:ascii="Times New Roman" w:eastAsia="方正仿宋简体" w:hAnsi="Times New Roman" w:cs="Times New Roman"/>
          <w:sz w:val="32"/>
          <w:szCs w:val="32"/>
          <w:shd w:val="clear" w:color="auto" w:fill="FFFFFF"/>
        </w:rPr>
        <w:t>CBOT</w:t>
      </w:r>
      <w:r>
        <w:rPr>
          <w:rFonts w:ascii="Times New Roman" w:eastAsia="方正仿宋简体" w:hAnsi="Times New Roman" w:cs="Times New Roman"/>
          <w:sz w:val="32"/>
          <w:szCs w:val="32"/>
          <w:shd w:val="clear" w:color="auto" w:fill="FFFFFF"/>
        </w:rPr>
        <w:t>）大豆价格平稳，玉米和小麦价格一涨一跌</w:t>
      </w:r>
      <w:r>
        <w:rPr>
          <w:rFonts w:ascii="Times New Roman" w:eastAsia="方正仿宋简体" w:hAnsi="Times New Roman" w:cs="Times New Roman"/>
          <w:sz w:val="32"/>
          <w:szCs w:val="32"/>
          <w:shd w:val="clear" w:color="auto" w:fill="FFFFFF"/>
        </w:rPr>
        <w:t>，其中玉米价格由于</w:t>
      </w:r>
      <w:r>
        <w:rPr>
          <w:rFonts w:ascii="Times New Roman" w:eastAsia="方正仿宋简体" w:hAnsi="Times New Roman" w:cs="Times New Roman"/>
          <w:sz w:val="32"/>
          <w:szCs w:val="32"/>
          <w:shd w:val="clear" w:color="auto" w:fill="FFFFFF"/>
        </w:rPr>
        <w:t>8</w:t>
      </w:r>
      <w:r>
        <w:rPr>
          <w:rFonts w:ascii="Times New Roman" w:eastAsia="方正仿宋简体" w:hAnsi="Times New Roman" w:cs="Times New Roman"/>
          <w:sz w:val="32"/>
          <w:szCs w:val="32"/>
          <w:shd w:val="clear" w:color="auto" w:fill="FFFFFF"/>
        </w:rPr>
        <w:t>月份跌幅较大出现恢复性反弹，小麦价格下跌主要是受出口前景低迷的影响</w:t>
      </w:r>
      <w:r>
        <w:rPr>
          <w:rFonts w:ascii="Times New Roman" w:eastAsia="方正仿宋简体" w:hAnsi="Times New Roman" w:cs="Times New Roman"/>
          <w:sz w:val="32"/>
          <w:szCs w:val="32"/>
          <w:shd w:val="clear" w:color="auto" w:fill="FFFFFF"/>
        </w:rPr>
        <w:t>。</w:t>
      </w:r>
    </w:p>
    <w:p w:rsidR="00763C95" w:rsidRPr="00E81155" w:rsidRDefault="006B1EC1" w:rsidP="00E81155">
      <w:pPr>
        <w:pStyle w:val="New0"/>
        <w:spacing w:line="375" w:lineRule="atLeast"/>
        <w:ind w:firstLineChars="200" w:firstLine="640"/>
        <w:rPr>
          <w:rFonts w:ascii="Times New Roman" w:eastAsia="方正仿宋简体" w:hAnsi="Times New Roman" w:cs="Times New Roman"/>
          <w:sz w:val="32"/>
          <w:szCs w:val="32"/>
          <w:shd w:val="clear" w:color="auto" w:fill="FFFFFF"/>
        </w:rPr>
      </w:pPr>
      <w:r>
        <w:rPr>
          <w:rFonts w:ascii="方正黑体简体" w:eastAsia="方正黑体简体" w:hAnsi="方正黑体简体" w:cs="方正黑体简体" w:hint="eastAsia"/>
          <w:sz w:val="32"/>
          <w:szCs w:val="32"/>
        </w:rPr>
        <w:t>一、省内市场主要粮油品种价格变化情况</w:t>
      </w:r>
    </w:p>
    <w:p w:rsidR="00763C95" w:rsidRDefault="006B1EC1">
      <w:pPr>
        <w:spacing w:line="600" w:lineRule="exact"/>
        <w:ind w:firstLineChars="200" w:firstLine="640"/>
        <w:rPr>
          <w:rFonts w:ascii="Times New Roman" w:eastAsia="方正仿宋简体" w:hAnsi="Times New Roman" w:cs="Times New Roman"/>
          <w:sz w:val="32"/>
          <w:szCs w:val="32"/>
          <w:lang w:bidi="ar"/>
        </w:rPr>
      </w:pPr>
      <w:r>
        <w:rPr>
          <w:rFonts w:ascii="Times New Roman" w:eastAsia="方正仿宋简体" w:hAnsi="Times New Roman" w:cs="Times New Roman"/>
          <w:sz w:val="32"/>
          <w:szCs w:val="32"/>
        </w:rPr>
        <w:t>普</w:t>
      </w:r>
      <w:r>
        <w:rPr>
          <w:rFonts w:ascii="Times New Roman" w:eastAsia="方正仿宋简体" w:hAnsi="Times New Roman" w:cs="Times New Roman"/>
          <w:sz w:val="32"/>
          <w:szCs w:val="32"/>
        </w:rPr>
        <w:t>通早籼稻收购价</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8</w:t>
      </w:r>
      <w:r>
        <w:rPr>
          <w:rFonts w:ascii="Times New Roman" w:eastAsia="方正仿宋简体" w:hAnsi="Times New Roman" w:cs="Times New Roman"/>
          <w:sz w:val="32"/>
          <w:szCs w:val="32"/>
        </w:rPr>
        <w:t>元（每公斤，下同），双周环比</w:t>
      </w:r>
      <w:r>
        <w:rPr>
          <w:rFonts w:ascii="Times New Roman" w:eastAsia="方正仿宋简体" w:hAnsi="Times New Roman" w:cs="Times New Roman"/>
          <w:sz w:val="32"/>
          <w:szCs w:val="32"/>
        </w:rPr>
        <w:t>下降</w:t>
      </w:r>
      <w:r>
        <w:rPr>
          <w:rFonts w:ascii="Times New Roman" w:eastAsia="方正仿宋简体" w:hAnsi="Times New Roman" w:cs="Times New Roman"/>
          <w:sz w:val="32"/>
          <w:szCs w:val="32"/>
        </w:rPr>
        <w:t>0.04%</w:t>
      </w:r>
      <w:r>
        <w:rPr>
          <w:rFonts w:ascii="Times New Roman" w:eastAsia="方正仿宋简体" w:hAnsi="Times New Roman" w:cs="Times New Roman"/>
          <w:sz w:val="32"/>
          <w:szCs w:val="32"/>
        </w:rPr>
        <w:t>，同</w:t>
      </w:r>
      <w:r>
        <w:rPr>
          <w:rFonts w:ascii="Times New Roman" w:eastAsia="方正仿宋简体" w:hAnsi="Times New Roman" w:cs="Times New Roman"/>
          <w:sz w:val="32"/>
          <w:szCs w:val="32"/>
          <w:lang w:bidi="ar"/>
        </w:rPr>
        <w:t>比</w:t>
      </w:r>
      <w:r>
        <w:rPr>
          <w:rFonts w:ascii="Times New Roman" w:eastAsia="方正仿宋简体" w:hAnsi="Times New Roman" w:cs="Times New Roman"/>
          <w:sz w:val="32"/>
          <w:szCs w:val="32"/>
          <w:lang w:bidi="ar"/>
        </w:rPr>
        <w:t>上涨</w:t>
      </w:r>
      <w:r>
        <w:rPr>
          <w:rFonts w:ascii="Times New Roman" w:eastAsia="方正仿宋简体" w:hAnsi="Times New Roman" w:cs="Times New Roman"/>
          <w:sz w:val="32"/>
          <w:szCs w:val="32"/>
          <w:lang w:bidi="ar"/>
        </w:rPr>
        <w:t>2.15</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；籼大米批发均价</w:t>
      </w:r>
      <w:r>
        <w:rPr>
          <w:rFonts w:ascii="Times New Roman" w:eastAsia="方正仿宋简体" w:hAnsi="Times New Roman" w:cs="Times New Roman"/>
          <w:sz w:val="32"/>
          <w:szCs w:val="32"/>
          <w:lang w:bidi="ar"/>
        </w:rPr>
        <w:t>5.17</w:t>
      </w:r>
      <w:r>
        <w:rPr>
          <w:rFonts w:ascii="Times New Roman" w:eastAsia="方正仿宋简体" w:hAnsi="Times New Roman" w:cs="Times New Roman"/>
          <w:sz w:val="32"/>
          <w:szCs w:val="32"/>
          <w:lang w:bidi="ar"/>
        </w:rPr>
        <w:t>元，双周环比下降</w:t>
      </w:r>
      <w:r>
        <w:rPr>
          <w:rFonts w:ascii="Times New Roman" w:eastAsia="方正仿宋简体" w:hAnsi="Times New Roman" w:cs="Times New Roman"/>
          <w:sz w:val="32"/>
          <w:szCs w:val="32"/>
          <w:lang w:bidi="ar"/>
        </w:rPr>
        <w:t>0.58%</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5.48%</w:t>
      </w:r>
      <w:r>
        <w:rPr>
          <w:rFonts w:ascii="Times New Roman" w:eastAsia="方正仿宋简体" w:hAnsi="Times New Roman" w:cs="Times New Roman"/>
          <w:sz w:val="32"/>
          <w:szCs w:val="32"/>
          <w:lang w:bidi="ar"/>
        </w:rPr>
        <w:t>，其中：东莞樟木头粮食批发市场籼大米均价</w:t>
      </w:r>
      <w:r>
        <w:rPr>
          <w:rFonts w:ascii="Times New Roman" w:eastAsia="方正仿宋简体" w:hAnsi="Times New Roman" w:cs="Times New Roman"/>
          <w:sz w:val="32"/>
          <w:szCs w:val="32"/>
          <w:lang w:bidi="ar"/>
        </w:rPr>
        <w:t>4.89</w:t>
      </w:r>
      <w:r>
        <w:rPr>
          <w:rFonts w:ascii="Times New Roman" w:eastAsia="方正仿宋简体" w:hAnsi="Times New Roman" w:cs="Times New Roman"/>
          <w:sz w:val="32"/>
          <w:szCs w:val="32"/>
          <w:lang w:bidi="ar"/>
        </w:rPr>
        <w:t>元，双周环比下降</w:t>
      </w:r>
      <w:r>
        <w:rPr>
          <w:rFonts w:ascii="Times New Roman" w:eastAsia="方正仿宋简体" w:hAnsi="Times New Roman" w:cs="Times New Roman"/>
          <w:sz w:val="32"/>
          <w:szCs w:val="32"/>
          <w:lang w:bidi="ar"/>
        </w:rPr>
        <w:t>1.21%</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1.81%</w:t>
      </w:r>
      <w:r>
        <w:rPr>
          <w:rFonts w:ascii="Times New Roman" w:eastAsia="方正仿宋简体" w:hAnsi="Times New Roman" w:cs="Times New Roman"/>
          <w:sz w:val="32"/>
          <w:szCs w:val="32"/>
          <w:lang w:bidi="ar"/>
        </w:rPr>
        <w:t>；籼大米零售均价</w:t>
      </w:r>
      <w:r>
        <w:rPr>
          <w:rFonts w:ascii="Times New Roman" w:eastAsia="方正仿宋简体" w:hAnsi="Times New Roman" w:cs="Times New Roman"/>
          <w:sz w:val="32"/>
          <w:szCs w:val="32"/>
          <w:lang w:bidi="ar"/>
        </w:rPr>
        <w:t>5.93</w:t>
      </w:r>
      <w:r>
        <w:rPr>
          <w:rFonts w:ascii="Times New Roman" w:eastAsia="方正仿宋简体" w:hAnsi="Times New Roman" w:cs="Times New Roman"/>
          <w:sz w:val="32"/>
          <w:szCs w:val="32"/>
          <w:lang w:bidi="ar"/>
        </w:rPr>
        <w:t>元，双周环比持平，同比下降</w:t>
      </w:r>
      <w:r>
        <w:rPr>
          <w:rFonts w:ascii="Times New Roman" w:eastAsia="方正仿宋简体" w:hAnsi="Times New Roman" w:cs="Times New Roman"/>
          <w:sz w:val="32"/>
          <w:szCs w:val="32"/>
          <w:lang w:bidi="ar"/>
        </w:rPr>
        <w:t>6.47%</w:t>
      </w:r>
      <w:r>
        <w:rPr>
          <w:rFonts w:ascii="Times New Roman" w:eastAsia="方正仿宋简体" w:hAnsi="Times New Roman" w:cs="Times New Roman"/>
          <w:sz w:val="32"/>
          <w:szCs w:val="32"/>
          <w:lang w:bidi="ar"/>
        </w:rPr>
        <w:t>；泰国香米零售均价</w:t>
      </w:r>
      <w:r>
        <w:rPr>
          <w:rFonts w:ascii="Times New Roman" w:eastAsia="方正仿宋简体" w:hAnsi="Times New Roman" w:cs="Times New Roman"/>
          <w:sz w:val="32"/>
          <w:szCs w:val="32"/>
          <w:lang w:bidi="ar"/>
        </w:rPr>
        <w:t>11.82</w:t>
      </w:r>
      <w:r>
        <w:rPr>
          <w:rFonts w:ascii="Times New Roman" w:eastAsia="方正仿宋简体" w:hAnsi="Times New Roman" w:cs="Times New Roman"/>
          <w:sz w:val="32"/>
          <w:szCs w:val="32"/>
          <w:lang w:bidi="ar"/>
        </w:rPr>
        <w:t>元，双周环比持平，同比下降</w:t>
      </w:r>
      <w:r>
        <w:rPr>
          <w:rFonts w:ascii="Times New Roman" w:eastAsia="方正仿宋简体" w:hAnsi="Times New Roman" w:cs="Times New Roman"/>
          <w:sz w:val="32"/>
          <w:szCs w:val="32"/>
          <w:lang w:bidi="ar"/>
        </w:rPr>
        <w:t>1.99%</w:t>
      </w:r>
      <w:r>
        <w:rPr>
          <w:rFonts w:ascii="Times New Roman" w:eastAsia="方正仿宋简体" w:hAnsi="Times New Roman" w:cs="Times New Roman"/>
          <w:sz w:val="32"/>
          <w:szCs w:val="32"/>
          <w:lang w:bidi="ar"/>
        </w:rPr>
        <w:t>。</w:t>
      </w:r>
    </w:p>
    <w:p w:rsidR="00763C95" w:rsidRDefault="006B1EC1">
      <w:pPr>
        <w:spacing w:line="600" w:lineRule="exact"/>
        <w:ind w:firstLineChars="200" w:firstLine="640"/>
        <w:rPr>
          <w:rFonts w:ascii="Times New Roman" w:eastAsia="方正仿宋简体" w:hAnsi="Times New Roman" w:cs="Times New Roman"/>
          <w:sz w:val="32"/>
          <w:szCs w:val="32"/>
          <w:lang w:bidi="ar"/>
        </w:rPr>
      </w:pPr>
      <w:r>
        <w:rPr>
          <w:rFonts w:ascii="Times New Roman" w:eastAsia="方正仿宋简体" w:hAnsi="Times New Roman" w:cs="Times New Roman"/>
          <w:sz w:val="32"/>
          <w:szCs w:val="32"/>
          <w:lang w:bidi="ar"/>
        </w:rPr>
        <w:t>小麦批发价</w:t>
      </w:r>
      <w:r>
        <w:rPr>
          <w:rFonts w:ascii="Times New Roman" w:eastAsia="方正仿宋简体" w:hAnsi="Times New Roman" w:cs="Times New Roman"/>
          <w:sz w:val="32"/>
          <w:szCs w:val="32"/>
          <w:lang w:bidi="ar"/>
        </w:rPr>
        <w:t>2.77</w:t>
      </w:r>
      <w:r>
        <w:rPr>
          <w:rFonts w:ascii="Times New Roman" w:eastAsia="方正仿宋简体" w:hAnsi="Times New Roman" w:cs="Times New Roman"/>
          <w:sz w:val="32"/>
          <w:szCs w:val="32"/>
          <w:lang w:bidi="ar"/>
        </w:rPr>
        <w:t>元，双周环比下降</w:t>
      </w:r>
      <w:r>
        <w:rPr>
          <w:rFonts w:ascii="Times New Roman" w:eastAsia="方正仿宋简体" w:hAnsi="Times New Roman" w:cs="Times New Roman"/>
          <w:sz w:val="32"/>
          <w:szCs w:val="32"/>
          <w:lang w:bidi="ar"/>
        </w:rPr>
        <w:t>0.18%</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0.54%</w:t>
      </w:r>
      <w:r>
        <w:rPr>
          <w:rFonts w:ascii="Times New Roman" w:eastAsia="方正仿宋简体" w:hAnsi="Times New Roman" w:cs="Times New Roman"/>
          <w:sz w:val="32"/>
          <w:szCs w:val="32"/>
          <w:lang w:bidi="ar"/>
        </w:rPr>
        <w:t>；小麦粉批发价</w:t>
      </w:r>
      <w:r>
        <w:rPr>
          <w:rFonts w:ascii="Times New Roman" w:eastAsia="方正仿宋简体" w:hAnsi="Times New Roman" w:cs="Times New Roman"/>
          <w:sz w:val="32"/>
          <w:szCs w:val="32"/>
          <w:lang w:bidi="ar"/>
        </w:rPr>
        <w:t>4.28</w:t>
      </w:r>
      <w:r>
        <w:rPr>
          <w:rFonts w:ascii="Times New Roman" w:eastAsia="方正仿宋简体" w:hAnsi="Times New Roman" w:cs="Times New Roman"/>
          <w:sz w:val="32"/>
          <w:szCs w:val="32"/>
          <w:lang w:bidi="ar"/>
        </w:rPr>
        <w:t>元，双周环比下降</w:t>
      </w:r>
      <w:r>
        <w:rPr>
          <w:rFonts w:ascii="Times New Roman" w:eastAsia="方正仿宋简体" w:hAnsi="Times New Roman" w:cs="Times New Roman"/>
          <w:sz w:val="32"/>
          <w:szCs w:val="32"/>
          <w:lang w:bidi="ar"/>
        </w:rPr>
        <w:t>0.23%</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5.68%</w:t>
      </w:r>
      <w:r>
        <w:rPr>
          <w:rFonts w:ascii="Times New Roman" w:eastAsia="方正仿宋简体" w:hAnsi="Times New Roman" w:cs="Times New Roman"/>
          <w:sz w:val="32"/>
          <w:szCs w:val="32"/>
          <w:lang w:bidi="ar"/>
        </w:rPr>
        <w:t>；小麦粉零售价</w:t>
      </w:r>
      <w:r>
        <w:rPr>
          <w:rFonts w:ascii="Times New Roman" w:eastAsia="方正仿宋简体" w:hAnsi="Times New Roman" w:cs="Times New Roman"/>
          <w:sz w:val="32"/>
          <w:szCs w:val="32"/>
          <w:lang w:bidi="ar"/>
        </w:rPr>
        <w:t>7.05</w:t>
      </w:r>
      <w:r>
        <w:rPr>
          <w:rFonts w:ascii="Times New Roman" w:eastAsia="方正仿宋简体" w:hAnsi="Times New Roman" w:cs="Times New Roman"/>
          <w:sz w:val="32"/>
          <w:szCs w:val="32"/>
          <w:lang w:bidi="ar"/>
        </w:rPr>
        <w:t>元，双周环比下降</w:t>
      </w:r>
      <w:r>
        <w:rPr>
          <w:rFonts w:ascii="Times New Roman" w:eastAsia="方正仿宋简体" w:hAnsi="Times New Roman" w:cs="Times New Roman"/>
          <w:sz w:val="32"/>
          <w:szCs w:val="32"/>
          <w:lang w:bidi="ar"/>
        </w:rPr>
        <w:t>0.98</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10.16</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p>
    <w:p w:rsidR="00763C95" w:rsidRDefault="006B1EC1">
      <w:pPr>
        <w:spacing w:line="600" w:lineRule="exact"/>
        <w:ind w:firstLineChars="200" w:firstLine="640"/>
        <w:rPr>
          <w:rFonts w:ascii="Times New Roman" w:eastAsia="方正仿宋简体" w:hAnsi="Times New Roman" w:cs="Times New Roman"/>
          <w:sz w:val="32"/>
          <w:szCs w:val="32"/>
          <w:lang w:bidi="ar"/>
        </w:rPr>
      </w:pPr>
      <w:r>
        <w:rPr>
          <w:rFonts w:ascii="Times New Roman" w:eastAsia="方正仿宋简体" w:hAnsi="Times New Roman" w:cs="Times New Roman"/>
          <w:sz w:val="32"/>
          <w:szCs w:val="32"/>
          <w:lang w:bidi="ar"/>
        </w:rPr>
        <w:t>玉米批发价</w:t>
      </w:r>
      <w:r>
        <w:rPr>
          <w:rFonts w:ascii="Times New Roman" w:eastAsia="方正仿宋简体" w:hAnsi="Times New Roman" w:cs="Times New Roman"/>
          <w:sz w:val="32"/>
          <w:szCs w:val="32"/>
          <w:lang w:bidi="ar"/>
        </w:rPr>
        <w:t>1</w:t>
      </w:r>
      <w:r>
        <w:rPr>
          <w:rFonts w:ascii="Times New Roman" w:eastAsia="方正仿宋简体" w:hAnsi="Times New Roman" w:cs="Times New Roman"/>
          <w:sz w:val="32"/>
          <w:szCs w:val="32"/>
          <w:lang w:bidi="ar"/>
        </w:rPr>
        <w:t>.95</w:t>
      </w:r>
      <w:r>
        <w:rPr>
          <w:rFonts w:ascii="Times New Roman" w:eastAsia="方正仿宋简体" w:hAnsi="Times New Roman" w:cs="Times New Roman"/>
          <w:sz w:val="32"/>
          <w:szCs w:val="32"/>
          <w:lang w:bidi="ar"/>
        </w:rPr>
        <w:t>元，双周环比上涨</w:t>
      </w:r>
      <w:r>
        <w:rPr>
          <w:rFonts w:ascii="Times New Roman" w:eastAsia="方正仿宋简体" w:hAnsi="Times New Roman" w:cs="Times New Roman"/>
          <w:sz w:val="32"/>
          <w:szCs w:val="32"/>
          <w:lang w:bidi="ar"/>
        </w:rPr>
        <w:t>1.14%</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7.51%</w:t>
      </w:r>
      <w:r>
        <w:rPr>
          <w:rFonts w:ascii="Times New Roman" w:eastAsia="方正仿宋简体" w:hAnsi="Times New Roman" w:cs="Times New Roman"/>
          <w:sz w:val="32"/>
          <w:szCs w:val="32"/>
          <w:lang w:bidi="ar"/>
        </w:rPr>
        <w:t>。</w:t>
      </w:r>
    </w:p>
    <w:p w:rsidR="00763C95" w:rsidRDefault="00E81155">
      <w:pPr>
        <w:rPr>
          <w:rFonts w:ascii="宋体" w:hAnsi="宋体" w:cs="宋体"/>
          <w:sz w:val="24"/>
        </w:rPr>
      </w:pPr>
      <w:r>
        <w:rPr>
          <w:noProof/>
        </w:rPr>
        <w:lastRenderedPageBreak/>
        <w:drawing>
          <wp:inline distT="0" distB="0" distL="0" distR="0">
            <wp:extent cx="5272405" cy="2736850"/>
            <wp:effectExtent l="0" t="0" r="4445"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2405" cy="2736850"/>
                    </a:xfrm>
                    <a:prstGeom prst="rect">
                      <a:avLst/>
                    </a:prstGeom>
                    <a:noFill/>
                    <a:ln w="9525">
                      <a:noFill/>
                    </a:ln>
                  </pic:spPr>
                </pic:pic>
              </a:graphicData>
            </a:graphic>
          </wp:inline>
        </w:drawing>
      </w:r>
    </w:p>
    <w:p w:rsidR="00763C95" w:rsidRDefault="00763C95"/>
    <w:p w:rsidR="00763C95" w:rsidRDefault="006B1EC1">
      <w:pPr>
        <w:spacing w:line="600" w:lineRule="exact"/>
        <w:ind w:firstLineChars="200" w:firstLine="640"/>
        <w:rPr>
          <w:rFonts w:ascii="Times New Roman" w:eastAsia="方正仿宋简体" w:hAnsi="Times New Roman" w:cs="Times New Roman"/>
          <w:sz w:val="32"/>
          <w:szCs w:val="32"/>
          <w:lang w:bidi="ar"/>
        </w:rPr>
      </w:pPr>
      <w:r>
        <w:rPr>
          <w:rFonts w:ascii="Times New Roman" w:eastAsia="方正仿宋简体" w:hAnsi="Times New Roman" w:cs="Times New Roman"/>
          <w:sz w:val="32"/>
          <w:szCs w:val="32"/>
          <w:lang w:bidi="ar"/>
        </w:rPr>
        <w:t>食用植物油批发均价</w:t>
      </w:r>
      <w:r>
        <w:rPr>
          <w:rFonts w:ascii="Times New Roman" w:eastAsia="方正仿宋简体" w:hAnsi="Times New Roman" w:cs="Times New Roman"/>
          <w:sz w:val="32"/>
          <w:szCs w:val="32"/>
          <w:lang w:bidi="ar"/>
        </w:rPr>
        <w:t>16.68</w:t>
      </w:r>
      <w:r>
        <w:rPr>
          <w:rFonts w:ascii="Times New Roman" w:eastAsia="方正仿宋简体" w:hAnsi="Times New Roman" w:cs="Times New Roman"/>
          <w:sz w:val="32"/>
          <w:szCs w:val="32"/>
          <w:lang w:bidi="ar"/>
        </w:rPr>
        <w:t>元（每升，下同），双周环比上涨</w:t>
      </w:r>
      <w:r>
        <w:rPr>
          <w:rFonts w:ascii="Times New Roman" w:eastAsia="方正仿宋简体" w:hAnsi="Times New Roman" w:cs="Times New Roman"/>
          <w:sz w:val="32"/>
          <w:szCs w:val="32"/>
          <w:lang w:bidi="ar"/>
        </w:rPr>
        <w:t>0.36%</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8.9%</w:t>
      </w:r>
      <w:r>
        <w:rPr>
          <w:rFonts w:ascii="Times New Roman" w:eastAsia="方正仿宋简体" w:hAnsi="Times New Roman" w:cs="Times New Roman"/>
          <w:sz w:val="32"/>
          <w:szCs w:val="32"/>
          <w:lang w:bidi="ar"/>
        </w:rPr>
        <w:t>。其中，花生油批发均价</w:t>
      </w:r>
      <w:r>
        <w:rPr>
          <w:rFonts w:ascii="Times New Roman" w:eastAsia="方正仿宋简体" w:hAnsi="Times New Roman" w:cs="Times New Roman"/>
          <w:sz w:val="32"/>
          <w:szCs w:val="32"/>
          <w:lang w:bidi="ar"/>
        </w:rPr>
        <w:t>20.76</w:t>
      </w:r>
      <w:r>
        <w:rPr>
          <w:rFonts w:ascii="Times New Roman" w:eastAsia="方正仿宋简体" w:hAnsi="Times New Roman" w:cs="Times New Roman"/>
          <w:sz w:val="32"/>
          <w:szCs w:val="32"/>
          <w:lang w:bidi="ar"/>
        </w:rPr>
        <w:t>元，双周环比上涨</w:t>
      </w:r>
      <w:r>
        <w:rPr>
          <w:rFonts w:ascii="Times New Roman" w:eastAsia="方正仿宋简体" w:hAnsi="Times New Roman" w:cs="Times New Roman"/>
          <w:sz w:val="32"/>
          <w:szCs w:val="32"/>
          <w:lang w:bidi="ar"/>
        </w:rPr>
        <w:t>0.14%</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5.72%</w:t>
      </w:r>
      <w:r>
        <w:rPr>
          <w:rFonts w:ascii="Times New Roman" w:eastAsia="方正仿宋简体" w:hAnsi="Times New Roman" w:cs="Times New Roman"/>
          <w:sz w:val="32"/>
          <w:szCs w:val="32"/>
          <w:lang w:bidi="ar"/>
        </w:rPr>
        <w:t>。食用植物油零售均价</w:t>
      </w:r>
      <w:r>
        <w:rPr>
          <w:rFonts w:ascii="Times New Roman" w:eastAsia="方正仿宋简体" w:hAnsi="Times New Roman" w:cs="Times New Roman"/>
          <w:sz w:val="32"/>
          <w:szCs w:val="32"/>
          <w:lang w:bidi="ar"/>
        </w:rPr>
        <w:t>18.73</w:t>
      </w:r>
      <w:r>
        <w:rPr>
          <w:rFonts w:ascii="Times New Roman" w:eastAsia="方正仿宋简体" w:hAnsi="Times New Roman" w:cs="Times New Roman"/>
          <w:sz w:val="32"/>
          <w:szCs w:val="32"/>
          <w:lang w:bidi="ar"/>
        </w:rPr>
        <w:t>元，双周环比上涨</w:t>
      </w:r>
      <w:r>
        <w:rPr>
          <w:rFonts w:ascii="Times New Roman" w:eastAsia="方正仿宋简体" w:hAnsi="Times New Roman" w:cs="Times New Roman"/>
          <w:sz w:val="32"/>
          <w:szCs w:val="32"/>
          <w:lang w:bidi="ar"/>
        </w:rPr>
        <w:t>0.54%</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13.45%</w:t>
      </w:r>
      <w:r>
        <w:rPr>
          <w:rFonts w:ascii="Times New Roman" w:eastAsia="方正仿宋简体" w:hAnsi="Times New Roman" w:cs="Times New Roman"/>
          <w:sz w:val="32"/>
          <w:szCs w:val="32"/>
          <w:lang w:bidi="ar"/>
        </w:rPr>
        <w:t>。其中，花生油零售均价</w:t>
      </w:r>
      <w:r>
        <w:rPr>
          <w:rFonts w:ascii="Times New Roman" w:eastAsia="方正仿宋简体" w:hAnsi="Times New Roman" w:cs="Times New Roman"/>
          <w:sz w:val="32"/>
          <w:szCs w:val="32"/>
          <w:lang w:bidi="ar"/>
        </w:rPr>
        <w:t>22.55</w:t>
      </w:r>
      <w:r>
        <w:rPr>
          <w:rFonts w:ascii="Times New Roman" w:eastAsia="方正仿宋简体" w:hAnsi="Times New Roman" w:cs="Times New Roman"/>
          <w:sz w:val="32"/>
          <w:szCs w:val="32"/>
          <w:lang w:bidi="ar"/>
        </w:rPr>
        <w:t>元，双周环比上涨</w:t>
      </w:r>
      <w:r>
        <w:rPr>
          <w:rFonts w:ascii="Times New Roman" w:eastAsia="方正仿宋简体" w:hAnsi="Times New Roman" w:cs="Times New Roman"/>
          <w:sz w:val="32"/>
          <w:szCs w:val="32"/>
          <w:lang w:bidi="ar"/>
        </w:rPr>
        <w:t>0.85%</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12.93%</w:t>
      </w:r>
      <w:r>
        <w:rPr>
          <w:rFonts w:ascii="Times New Roman" w:eastAsia="方正仿宋简体" w:hAnsi="Times New Roman" w:cs="Times New Roman"/>
          <w:sz w:val="32"/>
          <w:szCs w:val="32"/>
          <w:lang w:bidi="ar"/>
        </w:rPr>
        <w:t>。</w:t>
      </w:r>
    </w:p>
    <w:p w:rsidR="00763C95" w:rsidRDefault="006B1EC1">
      <w:pPr>
        <w:spacing w:line="600" w:lineRule="exact"/>
        <w:ind w:firstLineChars="200" w:firstLine="420"/>
        <w:rPr>
          <w:rFonts w:ascii="仿宋" w:eastAsia="仿宋" w:hAnsi="仿宋" w:cs="仿宋"/>
          <w:sz w:val="32"/>
          <w:szCs w:val="32"/>
          <w:lang w:bidi="ar"/>
        </w:rPr>
      </w:pPr>
      <w:r>
        <w:rPr>
          <w:noProof/>
        </w:rPr>
        <w:drawing>
          <wp:anchor distT="0" distB="0" distL="114300" distR="114300" simplePos="0" relativeHeight="251658240" behindDoc="0" locked="0" layoutInCell="1" allowOverlap="1">
            <wp:simplePos x="0" y="0"/>
            <wp:positionH relativeFrom="column">
              <wp:posOffset>161925</wp:posOffset>
            </wp:positionH>
            <wp:positionV relativeFrom="paragraph">
              <wp:posOffset>218440</wp:posOffset>
            </wp:positionV>
            <wp:extent cx="5057775" cy="2676525"/>
            <wp:effectExtent l="0" t="0" r="9525" b="952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8" r:link="rId9"/>
                    <a:stretch>
                      <a:fillRect/>
                    </a:stretch>
                  </pic:blipFill>
                  <pic:spPr>
                    <a:xfrm>
                      <a:off x="0" y="0"/>
                      <a:ext cx="5057775" cy="2676525"/>
                    </a:xfrm>
                    <a:prstGeom prst="rect">
                      <a:avLst/>
                    </a:prstGeom>
                    <a:noFill/>
                    <a:ln w="9525">
                      <a:noFill/>
                    </a:ln>
                  </pic:spPr>
                </pic:pic>
              </a:graphicData>
            </a:graphic>
          </wp:anchor>
        </w:drawing>
      </w:r>
    </w:p>
    <w:p w:rsidR="00763C95" w:rsidRDefault="00763C95">
      <w:pPr>
        <w:spacing w:line="600" w:lineRule="exact"/>
        <w:ind w:firstLineChars="200" w:firstLine="640"/>
        <w:rPr>
          <w:rFonts w:ascii="仿宋" w:eastAsia="仿宋" w:hAnsi="仿宋" w:cs="仿宋"/>
          <w:sz w:val="32"/>
          <w:szCs w:val="32"/>
          <w:lang w:bidi="ar"/>
        </w:rPr>
      </w:pPr>
    </w:p>
    <w:p w:rsidR="00763C95" w:rsidRDefault="00763C95">
      <w:pPr>
        <w:spacing w:line="600" w:lineRule="exact"/>
        <w:ind w:firstLineChars="200" w:firstLine="640"/>
        <w:rPr>
          <w:rFonts w:ascii="仿宋" w:eastAsia="仿宋" w:hAnsi="仿宋" w:cs="仿宋"/>
          <w:sz w:val="32"/>
          <w:szCs w:val="32"/>
          <w:lang w:bidi="ar"/>
        </w:rPr>
      </w:pPr>
    </w:p>
    <w:p w:rsidR="00763C95" w:rsidRDefault="00763C95">
      <w:pPr>
        <w:spacing w:line="600" w:lineRule="exact"/>
        <w:ind w:firstLineChars="200" w:firstLine="640"/>
        <w:rPr>
          <w:rFonts w:ascii="仿宋" w:eastAsia="仿宋" w:hAnsi="仿宋" w:cs="仿宋"/>
          <w:sz w:val="32"/>
          <w:szCs w:val="32"/>
          <w:lang w:bidi="ar"/>
        </w:rPr>
      </w:pPr>
    </w:p>
    <w:p w:rsidR="00763C95" w:rsidRDefault="00763C95">
      <w:pPr>
        <w:spacing w:line="600" w:lineRule="exact"/>
        <w:rPr>
          <w:rFonts w:ascii="仿宋" w:eastAsia="仿宋" w:hAnsi="仿宋" w:cs="仿宋"/>
          <w:sz w:val="32"/>
          <w:szCs w:val="32"/>
          <w:lang w:bidi="ar"/>
        </w:rPr>
      </w:pPr>
    </w:p>
    <w:p w:rsidR="00763C95" w:rsidRDefault="00763C95">
      <w:pPr>
        <w:spacing w:line="600" w:lineRule="exact"/>
        <w:ind w:firstLineChars="200" w:firstLine="640"/>
        <w:rPr>
          <w:rFonts w:ascii="仿宋" w:eastAsia="仿宋" w:hAnsi="仿宋" w:cs="仿宋"/>
          <w:sz w:val="32"/>
          <w:szCs w:val="32"/>
          <w:lang w:bidi="ar"/>
        </w:rPr>
      </w:pPr>
    </w:p>
    <w:p w:rsidR="00763C95" w:rsidRDefault="00763C95">
      <w:pPr>
        <w:rPr>
          <w:rFonts w:ascii="宋体" w:hAnsi="宋体" w:cs="宋体"/>
          <w:sz w:val="24"/>
        </w:rPr>
      </w:pPr>
    </w:p>
    <w:p w:rsidR="00763C95" w:rsidRDefault="00763C95">
      <w:pPr>
        <w:rPr>
          <w:rFonts w:ascii="宋体" w:hAnsi="宋体" w:cs="宋体"/>
          <w:sz w:val="24"/>
        </w:rPr>
      </w:pPr>
    </w:p>
    <w:p w:rsidR="00763C95" w:rsidRDefault="00763C95">
      <w:pPr>
        <w:spacing w:line="600" w:lineRule="exact"/>
        <w:ind w:firstLineChars="200" w:firstLine="640"/>
        <w:rPr>
          <w:rFonts w:ascii="仿宋" w:eastAsia="仿宋" w:hAnsi="仿宋" w:cs="仿宋"/>
          <w:sz w:val="32"/>
          <w:szCs w:val="32"/>
          <w:lang w:bidi="ar"/>
        </w:rPr>
      </w:pPr>
    </w:p>
    <w:p w:rsidR="00763C95" w:rsidRDefault="006B1EC1">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shd w:val="clear" w:color="auto" w:fill="FFFFFF"/>
        </w:rPr>
        <w:lastRenderedPageBreak/>
        <w:t>二、国内市场粮油价格变化情况</w:t>
      </w:r>
    </w:p>
    <w:p w:rsidR="00763C95" w:rsidRDefault="006B1EC1">
      <w:pPr>
        <w:spacing w:line="600" w:lineRule="exact"/>
        <w:ind w:firstLineChars="200" w:firstLine="640"/>
        <w:rPr>
          <w:rFonts w:ascii="Times New Roman" w:eastAsia="方正仿宋简体" w:hAnsi="Times New Roman" w:cs="Times New Roman"/>
          <w:sz w:val="32"/>
          <w:szCs w:val="32"/>
          <w:lang w:bidi="ar"/>
        </w:rPr>
      </w:pPr>
      <w:r>
        <w:rPr>
          <w:rFonts w:ascii="Times New Roman" w:eastAsia="方正仿宋简体" w:hAnsi="Times New Roman" w:cs="Times New Roman"/>
          <w:sz w:val="32"/>
          <w:szCs w:val="32"/>
          <w:lang w:bidi="ar"/>
        </w:rPr>
        <w:t>据国家粮油信息中心数据，普通早籼稻批发价双周环比上涨</w:t>
      </w:r>
      <w:r>
        <w:rPr>
          <w:rFonts w:ascii="Times New Roman" w:eastAsia="方正仿宋简体" w:hAnsi="Times New Roman" w:cs="Times New Roman"/>
          <w:sz w:val="32"/>
          <w:szCs w:val="32"/>
          <w:lang w:bidi="ar"/>
        </w:rPr>
        <w:t>2.06%</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10.66%</w:t>
      </w:r>
      <w:r>
        <w:rPr>
          <w:rFonts w:ascii="Times New Roman" w:eastAsia="方正仿宋简体" w:hAnsi="Times New Roman" w:cs="Times New Roman"/>
          <w:sz w:val="32"/>
          <w:szCs w:val="32"/>
          <w:lang w:bidi="ar"/>
        </w:rPr>
        <w:t>；籼大米批发价双周环比上涨</w:t>
      </w:r>
      <w:r>
        <w:rPr>
          <w:rFonts w:ascii="Times New Roman" w:eastAsia="方正仿宋简体" w:hAnsi="Times New Roman" w:cs="Times New Roman"/>
          <w:color w:val="000000"/>
          <w:sz w:val="32"/>
          <w:szCs w:val="32"/>
          <w:lang w:bidi="ar"/>
        </w:rPr>
        <w:t>0.66%</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color w:val="000000"/>
          <w:sz w:val="32"/>
          <w:szCs w:val="32"/>
          <w:lang w:bidi="ar"/>
        </w:rPr>
        <w:t>3.87%</w:t>
      </w:r>
      <w:r>
        <w:rPr>
          <w:rFonts w:ascii="Times New Roman" w:eastAsia="方正仿宋简体" w:hAnsi="Times New Roman" w:cs="Times New Roman"/>
          <w:sz w:val="32"/>
          <w:szCs w:val="32"/>
          <w:lang w:bidi="ar"/>
        </w:rPr>
        <w:t>；小麦批发价双周环比下降</w:t>
      </w:r>
      <w:r>
        <w:rPr>
          <w:rFonts w:ascii="Times New Roman" w:eastAsia="方正仿宋简体" w:hAnsi="Times New Roman" w:cs="Times New Roman"/>
          <w:color w:val="000000"/>
          <w:sz w:val="32"/>
          <w:szCs w:val="32"/>
          <w:lang w:bidi="ar"/>
        </w:rPr>
        <w:t>0.17%</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3.95</w:t>
      </w:r>
      <w:r>
        <w:rPr>
          <w:rFonts w:ascii="Times New Roman" w:eastAsia="方正仿宋简体" w:hAnsi="Times New Roman" w:cs="Times New Roman"/>
          <w:color w:val="000000"/>
          <w:sz w:val="32"/>
          <w:szCs w:val="32"/>
          <w:lang w:bidi="ar"/>
        </w:rPr>
        <w:t>%</w:t>
      </w:r>
      <w:r>
        <w:rPr>
          <w:rFonts w:ascii="Times New Roman" w:eastAsia="方正仿宋简体" w:hAnsi="Times New Roman" w:cs="Times New Roman"/>
          <w:sz w:val="32"/>
          <w:szCs w:val="32"/>
          <w:lang w:bidi="ar"/>
        </w:rPr>
        <w:t>；玉米批发价双周环比上涨</w:t>
      </w:r>
      <w:r>
        <w:rPr>
          <w:rFonts w:ascii="Times New Roman" w:eastAsia="方正仿宋简体" w:hAnsi="Times New Roman" w:cs="Times New Roman"/>
          <w:sz w:val="32"/>
          <w:szCs w:val="32"/>
          <w:lang w:bidi="ar"/>
        </w:rPr>
        <w:t>1.83</w:t>
      </w:r>
      <w:r>
        <w:rPr>
          <w:rFonts w:ascii="Times New Roman" w:eastAsia="方正仿宋简体" w:hAnsi="Times New Roman" w:cs="Times New Roman"/>
          <w:color w:val="000000"/>
          <w:sz w:val="32"/>
          <w:szCs w:val="32"/>
          <w:lang w:bidi="ar"/>
        </w:rPr>
        <w:t>%</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color w:val="000000"/>
          <w:sz w:val="32"/>
          <w:szCs w:val="32"/>
          <w:lang w:bidi="ar"/>
        </w:rPr>
        <w:t>7.04%</w:t>
      </w:r>
      <w:r>
        <w:rPr>
          <w:rFonts w:ascii="Times New Roman" w:eastAsia="方正仿宋简体" w:hAnsi="Times New Roman" w:cs="Times New Roman"/>
          <w:sz w:val="32"/>
          <w:szCs w:val="32"/>
          <w:lang w:bidi="ar"/>
        </w:rPr>
        <w:t>；大豆油批发价双周环比上涨</w:t>
      </w:r>
      <w:r>
        <w:rPr>
          <w:rFonts w:ascii="Times New Roman" w:eastAsia="方正仿宋简体" w:hAnsi="Times New Roman" w:cs="Times New Roman"/>
          <w:sz w:val="32"/>
          <w:szCs w:val="32"/>
          <w:lang w:bidi="ar"/>
        </w:rPr>
        <w:t>1.32</w:t>
      </w:r>
      <w:r>
        <w:rPr>
          <w:rFonts w:ascii="Times New Roman" w:eastAsia="方正仿宋简体" w:hAnsi="Times New Roman" w:cs="Times New Roman"/>
          <w:color w:val="000000"/>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color w:val="000000"/>
          <w:sz w:val="32"/>
          <w:szCs w:val="32"/>
          <w:lang w:bidi="ar"/>
        </w:rPr>
        <w:t>10.3%</w:t>
      </w:r>
      <w:r>
        <w:rPr>
          <w:rFonts w:ascii="Times New Roman" w:eastAsia="方正仿宋简体" w:hAnsi="Times New Roman" w:cs="Times New Roman"/>
          <w:color w:val="000000"/>
          <w:sz w:val="32"/>
          <w:szCs w:val="32"/>
          <w:lang w:bidi="ar"/>
        </w:rPr>
        <w:t>；花生油批发价双周环比持平，同比下降</w:t>
      </w:r>
      <w:r>
        <w:rPr>
          <w:rFonts w:ascii="Times New Roman" w:eastAsia="方正仿宋简体" w:hAnsi="Times New Roman" w:cs="Times New Roman"/>
          <w:color w:val="000000"/>
          <w:sz w:val="32"/>
          <w:szCs w:val="32"/>
          <w:lang w:bidi="ar"/>
        </w:rPr>
        <w:t>3.21%</w:t>
      </w:r>
      <w:r>
        <w:rPr>
          <w:rFonts w:ascii="Times New Roman" w:eastAsia="方正仿宋简体" w:hAnsi="Times New Roman" w:cs="Times New Roman"/>
          <w:color w:val="000000"/>
          <w:sz w:val="32"/>
          <w:szCs w:val="32"/>
          <w:lang w:bidi="ar"/>
        </w:rPr>
        <w:t>。</w:t>
      </w:r>
    </w:p>
    <w:p w:rsidR="00763C95" w:rsidRDefault="006B1EC1">
      <w:pPr>
        <w:pStyle w:val="New0"/>
        <w:spacing w:line="600" w:lineRule="exact"/>
        <w:rPr>
          <w:rFonts w:ascii="方正黑体简体" w:eastAsia="方正黑体简体" w:hAnsi="方正黑体简体" w:cs="方正黑体简体"/>
          <w:sz w:val="32"/>
          <w:szCs w:val="32"/>
        </w:rPr>
      </w:pPr>
      <w:r>
        <w:rPr>
          <w:rFonts w:ascii="仿宋" w:eastAsia="仿宋" w:hAnsi="仿宋" w:cs="仿宋" w:hint="eastAsia"/>
          <w:sz w:val="32"/>
          <w:szCs w:val="32"/>
        </w:rPr>
        <w:t xml:space="preserve">    </w:t>
      </w:r>
      <w:r>
        <w:rPr>
          <w:rFonts w:ascii="方正黑体简体" w:eastAsia="方正黑体简体" w:hAnsi="方正黑体简体" w:cs="方正黑体简体" w:hint="eastAsia"/>
          <w:sz w:val="32"/>
          <w:szCs w:val="32"/>
        </w:rPr>
        <w:t>三、国际粮食期货和东南亚大米现货价格情况</w:t>
      </w:r>
    </w:p>
    <w:p w:rsidR="00763C95" w:rsidRDefault="006B1EC1">
      <w:pPr>
        <w:widowControl/>
        <w:spacing w:line="560" w:lineRule="exact"/>
        <w:ind w:firstLineChars="200" w:firstLine="640"/>
        <w:rPr>
          <w:rFonts w:ascii="Times New Roman" w:eastAsia="方正仿宋简体" w:hAnsi="Times New Roman" w:cs="Times New Roman"/>
          <w:bCs/>
          <w:sz w:val="32"/>
          <w:szCs w:val="30"/>
        </w:rPr>
      </w:pPr>
      <w:r>
        <w:rPr>
          <w:rFonts w:ascii="Times New Roman" w:eastAsia="方正仿宋简体" w:hAnsi="Times New Roman" w:cs="Times New Roman"/>
          <w:sz w:val="32"/>
          <w:szCs w:val="32"/>
          <w:lang w:bidi="ar"/>
        </w:rPr>
        <w:t>双周环比，芝加哥期货交易所（</w:t>
      </w:r>
      <w:r>
        <w:rPr>
          <w:rFonts w:ascii="Times New Roman" w:eastAsia="方正仿宋简体" w:hAnsi="Times New Roman" w:cs="Times New Roman"/>
          <w:sz w:val="32"/>
          <w:szCs w:val="32"/>
          <w:lang w:bidi="ar"/>
        </w:rPr>
        <w:t>CBOT</w:t>
      </w:r>
      <w:r>
        <w:rPr>
          <w:rFonts w:ascii="Times New Roman" w:eastAsia="方正仿宋简体" w:hAnsi="Times New Roman" w:cs="Times New Roman"/>
          <w:sz w:val="32"/>
          <w:szCs w:val="32"/>
          <w:lang w:bidi="ar"/>
        </w:rPr>
        <w:t>）大豆、玉米、价格分别上涨</w:t>
      </w:r>
      <w:r>
        <w:rPr>
          <w:rFonts w:ascii="Times New Roman" w:eastAsia="方正仿宋简体" w:hAnsi="Times New Roman" w:cs="Times New Roman"/>
          <w:sz w:val="32"/>
          <w:szCs w:val="32"/>
          <w:lang w:bidi="ar"/>
        </w:rPr>
        <w:t>0.36</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和</w:t>
      </w:r>
      <w:r>
        <w:rPr>
          <w:rFonts w:ascii="Times New Roman" w:eastAsia="方正仿宋简体" w:hAnsi="Times New Roman" w:cs="Times New Roman"/>
          <w:sz w:val="32"/>
          <w:szCs w:val="32"/>
          <w:lang w:bidi="ar"/>
        </w:rPr>
        <w:t>2.91%</w:t>
      </w:r>
      <w:r>
        <w:rPr>
          <w:rFonts w:ascii="Times New Roman" w:eastAsia="方正仿宋简体" w:hAnsi="Times New Roman" w:cs="Times New Roman"/>
          <w:sz w:val="32"/>
          <w:szCs w:val="32"/>
          <w:lang w:bidi="ar"/>
        </w:rPr>
        <w:t>，小麦价格下降</w:t>
      </w:r>
      <w:r>
        <w:rPr>
          <w:rFonts w:ascii="Times New Roman" w:eastAsia="方正仿宋简体" w:hAnsi="Times New Roman" w:cs="Times New Roman"/>
          <w:sz w:val="32"/>
          <w:szCs w:val="32"/>
          <w:lang w:bidi="ar"/>
        </w:rPr>
        <w:t>3.44%</w:t>
      </w:r>
      <w:r>
        <w:rPr>
          <w:rFonts w:ascii="Times New Roman" w:eastAsia="方正仿宋简体" w:hAnsi="Times New Roman" w:cs="Times New Roman"/>
          <w:sz w:val="32"/>
          <w:szCs w:val="32"/>
          <w:lang w:bidi="ar"/>
        </w:rPr>
        <w:t>。泰国和越南大米现货离岸价为</w:t>
      </w:r>
      <w:r>
        <w:rPr>
          <w:rFonts w:ascii="Times New Roman" w:eastAsia="方正仿宋简体" w:hAnsi="Times New Roman" w:cs="Times New Roman"/>
          <w:sz w:val="32"/>
          <w:szCs w:val="32"/>
          <w:lang w:bidi="ar"/>
        </w:rPr>
        <w:t>403</w:t>
      </w:r>
      <w:r>
        <w:rPr>
          <w:rFonts w:ascii="Times New Roman" w:eastAsia="方正仿宋简体" w:hAnsi="Times New Roman" w:cs="Times New Roman"/>
          <w:sz w:val="32"/>
          <w:szCs w:val="32"/>
          <w:lang w:bidi="ar"/>
        </w:rPr>
        <w:t>美元</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吨、</w:t>
      </w:r>
      <w:r>
        <w:rPr>
          <w:rFonts w:ascii="Times New Roman" w:eastAsia="方正仿宋简体" w:hAnsi="Times New Roman" w:cs="Times New Roman"/>
          <w:sz w:val="32"/>
          <w:szCs w:val="32"/>
          <w:lang w:bidi="ar"/>
        </w:rPr>
        <w:t>395</w:t>
      </w:r>
      <w:r>
        <w:rPr>
          <w:rFonts w:ascii="Times New Roman" w:eastAsia="方正仿宋简体" w:hAnsi="Times New Roman" w:cs="Times New Roman"/>
          <w:sz w:val="32"/>
          <w:szCs w:val="32"/>
          <w:lang w:bidi="ar"/>
        </w:rPr>
        <w:t>美元</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吨（均为</w:t>
      </w:r>
      <w:r>
        <w:rPr>
          <w:rFonts w:ascii="Times New Roman" w:eastAsia="方正仿宋简体" w:hAnsi="Times New Roman" w:cs="Times New Roman"/>
          <w:sz w:val="32"/>
          <w:szCs w:val="32"/>
          <w:lang w:bidi="ar"/>
        </w:rPr>
        <w:t>5%</w:t>
      </w:r>
      <w:r>
        <w:rPr>
          <w:rFonts w:ascii="Times New Roman" w:eastAsia="方正仿宋简体" w:hAnsi="Times New Roman" w:cs="Times New Roman"/>
          <w:sz w:val="32"/>
          <w:szCs w:val="32"/>
          <w:lang w:bidi="ar"/>
        </w:rPr>
        <w:t>破碎率），分别下降</w:t>
      </w:r>
      <w:r>
        <w:rPr>
          <w:rFonts w:ascii="Times New Roman" w:eastAsia="方正仿宋简体" w:hAnsi="Times New Roman" w:cs="Times New Roman"/>
          <w:sz w:val="32"/>
          <w:szCs w:val="32"/>
          <w:lang w:bidi="ar"/>
        </w:rPr>
        <w:t>1.71%</w:t>
      </w:r>
      <w:r>
        <w:rPr>
          <w:rFonts w:ascii="Times New Roman" w:eastAsia="方正仿宋简体" w:hAnsi="Times New Roman" w:cs="Times New Roman"/>
          <w:sz w:val="32"/>
          <w:szCs w:val="32"/>
          <w:lang w:bidi="ar"/>
        </w:rPr>
        <w:t>和持平。深圳地区越南大米批发价</w:t>
      </w:r>
      <w:r>
        <w:rPr>
          <w:rFonts w:ascii="Times New Roman" w:eastAsia="方正仿宋简体" w:hAnsi="Times New Roman" w:cs="Times New Roman"/>
          <w:sz w:val="32"/>
          <w:szCs w:val="32"/>
          <w:lang w:bidi="ar"/>
        </w:rPr>
        <w:t>3.7</w:t>
      </w:r>
      <w:r>
        <w:rPr>
          <w:rFonts w:ascii="Times New Roman" w:eastAsia="方正仿宋简体" w:hAnsi="Times New Roman" w:cs="Times New Roman"/>
          <w:sz w:val="32"/>
          <w:szCs w:val="32"/>
          <w:lang w:bidi="ar"/>
        </w:rPr>
        <w:t>元，双周环比持平，比同等级国产大米批发价高</w:t>
      </w:r>
      <w:r>
        <w:rPr>
          <w:rFonts w:ascii="Times New Roman" w:eastAsia="方正仿宋简体" w:hAnsi="Times New Roman" w:cs="Times New Roman"/>
          <w:sz w:val="32"/>
          <w:szCs w:val="32"/>
          <w:lang w:bidi="ar"/>
        </w:rPr>
        <w:t>8.82%</w:t>
      </w:r>
      <w:r>
        <w:rPr>
          <w:rFonts w:ascii="Times New Roman" w:eastAsia="方正仿宋简体" w:hAnsi="Times New Roman" w:cs="Times New Roman"/>
          <w:sz w:val="32"/>
          <w:szCs w:val="32"/>
          <w:lang w:bidi="ar"/>
        </w:rPr>
        <w:t>。</w:t>
      </w:r>
      <w:bookmarkStart w:id="0" w:name="_GoBack"/>
      <w:bookmarkEnd w:id="0"/>
    </w:p>
    <w:sectPr w:rsidR="00763C95">
      <w:footerReference w:type="default" r:id="rId10"/>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EC1" w:rsidRDefault="006B1EC1">
      <w:r>
        <w:separator/>
      </w:r>
    </w:p>
  </w:endnote>
  <w:endnote w:type="continuationSeparator" w:id="0">
    <w:p w:rsidR="006B1EC1" w:rsidRDefault="006B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95" w:rsidRDefault="006B1EC1">
    <w:pPr>
      <w:pStyle w:val="a3"/>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78510" cy="4419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778510" cy="4419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63C95" w:rsidRDefault="006B1EC1">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E81155">
                            <w:rPr>
                              <w:rFonts w:ascii="Times New Roman" w:hAnsi="Times New Roman" w:cs="Times New Roman"/>
                              <w:noProo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10.1pt;margin-top:0;width:61.3pt;height:34.8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dVagIAAAoFAAAOAAAAZHJzL2Uyb0RvYy54bWysVM2O0zAQviPxDpbvNO3S7S5V01Xpqghp&#10;xa4oiLPr2E2E7TG226Q8ALwBJy7cea4+B2OnyaKFyyIuzsTzzd83M55dNVqRvXC+ApPT0WBIiTAc&#10;ispsc/r+3erZJSU+MFMwBUbk9CA8vZo/fTKr7VScQQmqEI6gE+Ontc1pGYKdZpnnpdDMD8AKg0oJ&#10;TrOAv26bFY7V6F2r7Gw4nGQ1uMI64MJ7vL1ulXSe/EspeLiV0otAVE4xt5BOl85NPLP5jE23jtmy&#10;4qc02D9koVllMGjv6poFRnau+sOVrrgDDzIMOOgMpKy4SDVgNaPhg2rWJbMi1YLkeNvT5P+fW/5m&#10;f+dIVeR0TIlhGlt0/Pb1+P3n8ccXMo701NZPEbW2iAvNS2iwzd29x8tYdSOdjl+sh6AeiT705Iom&#10;EI6XFxeX5yPUcFSNx6MXk0R+dm9snQ+vBGgShZw67F2ilO1vfMBEENpBYiwDq0qp1D9lSJ3TyfPz&#10;YTLoNWihDBrGEtpUkxQOSkQPyrwVEmtPGceLNHViqRzZM5wXxrkwIRWbPCE6oiSGfYzhCR9NRZrI&#10;xxj3FikymNAb68qAS/U+SLv42KUsW3zHQFt3pCA0m+bU2g0UB+ysg3Y1vOWrCvm/YT7cMYe7gC3D&#10;/Q63eEgFyDOcJEpKcJ//dh/xOKKopaTG3cqp/7RjTlCiXhsc3riIneA6YdMJZqeXgPSP8OWwPIlo&#10;4ILqROlAf8C1X8QoqGKGY6ychk5chnbD8dngYrFIIFw3y8KNWVseXUc6DSx2AWSVhivS0nJxogsX&#10;Ls3c6XGIG/37f0LdP2HzXwAAAP//AwBQSwMEFAAGAAgAAAAhAF3TmVHaAAAABAEAAA8AAABkcnMv&#10;ZG93bnJldi54bWxMjztPxDAQhHsk/oO1SHSccykiCHFOiEfH6w6QoHPiJYmw15G9yYV/j48GmpVG&#10;M5r5ttoszooZQxw8KVivMhBIrTcDdQpeX+7OzkFE1mS09YQKvjHCpj4+qnRp/J62OO+4E6mEYqkV&#10;9MxjKWVse3Q6rvyIlLxPH5zmJEMnTdD7VO6szLOskE4PlBZ6PeJ1j+3XbnIK7HsM903GH/NN98DP&#10;T3J6u10/KnV6slxdgmBc+C8MB/yEDnViavxEJgqrID3Cv/fg5XkBolFQXBQg60r+h69/AAAA//8D&#10;AFBLAQItABQABgAIAAAAIQC2gziS/gAAAOEBAAATAAAAAAAAAAAAAAAAAAAAAABbQ29udGVudF9U&#10;eXBlc10ueG1sUEsBAi0AFAAGAAgAAAAhADj9If/WAAAAlAEAAAsAAAAAAAAAAAAAAAAALwEAAF9y&#10;ZWxzLy5yZWxzUEsBAi0AFAAGAAgAAAAhAPv7V1VqAgAACgUAAA4AAAAAAAAAAAAAAAAALgIAAGRy&#10;cy9lMm9Eb2MueG1sUEsBAi0AFAAGAAgAAAAhAF3TmVHaAAAABAEAAA8AAAAAAAAAAAAAAAAAxAQA&#10;AGRycy9kb3ducmV2LnhtbFBLBQYAAAAABAAEAPMAAADLBQAAAAA=&#10;" filled="f" stroked="f" strokeweight=".5pt">
              <v:textbox inset="0,0,0,0">
                <w:txbxContent>
                  <w:p w:rsidR="00763C95" w:rsidRDefault="006B1EC1">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E81155">
                      <w:rPr>
                        <w:rFonts w:ascii="Times New Roman" w:hAnsi="Times New Roman" w:cs="Times New Roman"/>
                        <w:noProo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EC1" w:rsidRDefault="006B1EC1">
      <w:r>
        <w:separator/>
      </w:r>
    </w:p>
  </w:footnote>
  <w:footnote w:type="continuationSeparator" w:id="0">
    <w:p w:rsidR="006B1EC1" w:rsidRDefault="006B1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6B1EC1"/>
    <w:rsid w:val="00763C95"/>
    <w:rsid w:val="00E81155"/>
    <w:rsid w:val="03282C01"/>
    <w:rsid w:val="04B7797C"/>
    <w:rsid w:val="04FC3B14"/>
    <w:rsid w:val="11883694"/>
    <w:rsid w:val="12AF5D21"/>
    <w:rsid w:val="12BC310E"/>
    <w:rsid w:val="1C136791"/>
    <w:rsid w:val="1F553CE5"/>
    <w:rsid w:val="211D553F"/>
    <w:rsid w:val="21A62C70"/>
    <w:rsid w:val="22054DD3"/>
    <w:rsid w:val="22386E4D"/>
    <w:rsid w:val="23296A72"/>
    <w:rsid w:val="236C7CE4"/>
    <w:rsid w:val="251B1018"/>
    <w:rsid w:val="257319C6"/>
    <w:rsid w:val="271F7C42"/>
    <w:rsid w:val="294947F4"/>
    <w:rsid w:val="29625E58"/>
    <w:rsid w:val="2AFA2345"/>
    <w:rsid w:val="2DD65CF9"/>
    <w:rsid w:val="2E544646"/>
    <w:rsid w:val="2E740E49"/>
    <w:rsid w:val="30DF3A77"/>
    <w:rsid w:val="318062D8"/>
    <w:rsid w:val="355F26FC"/>
    <w:rsid w:val="36A92885"/>
    <w:rsid w:val="37F569D8"/>
    <w:rsid w:val="387B44F0"/>
    <w:rsid w:val="38B05A83"/>
    <w:rsid w:val="42BB375A"/>
    <w:rsid w:val="436E52A5"/>
    <w:rsid w:val="43CD0672"/>
    <w:rsid w:val="4AB319A6"/>
    <w:rsid w:val="4C6851D0"/>
    <w:rsid w:val="4E905136"/>
    <w:rsid w:val="4EAC4F83"/>
    <w:rsid w:val="5078381C"/>
    <w:rsid w:val="54924520"/>
    <w:rsid w:val="5F4470FB"/>
    <w:rsid w:val="5F816592"/>
    <w:rsid w:val="616824C9"/>
    <w:rsid w:val="64752FAF"/>
    <w:rsid w:val="6B2C6477"/>
    <w:rsid w:val="6DA779A7"/>
    <w:rsid w:val="6E0610CE"/>
    <w:rsid w:val="735A4FF8"/>
    <w:rsid w:val="75C52B2A"/>
    <w:rsid w:val="776821E5"/>
    <w:rsid w:val="77CC34E6"/>
    <w:rsid w:val="7D71770A"/>
    <w:rsid w:val="7F481A4E"/>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A226D"/>
  <w15:docId w15:val="{EF50B15D-9B16-4479-A730-947E3860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
    <w:name w:val="正文 New New New New"/>
    <w:qFormat/>
    <w:pPr>
      <w:widowControl w:val="0"/>
      <w:jc w:val="both"/>
    </w:pPr>
    <w:rPr>
      <w:rFonts w:ascii="Calibri" w:hAnsi="Calibri"/>
      <w:kern w:val="2"/>
      <w:sz w:val="21"/>
      <w:szCs w:val="24"/>
    </w:rPr>
  </w:style>
  <w:style w:type="paragraph" w:customStyle="1" w:styleId="NewNew0">
    <w:name w:val="正文 New New"/>
    <w:qFormat/>
    <w:pPr>
      <w:widowControl w:val="0"/>
      <w:jc w:val="both"/>
    </w:pPr>
    <w:rPr>
      <w:rFonts w:ascii="Calibri" w:eastAsia="宋体" w:hAnsi="Calibri" w:cs="Times New Roman"/>
      <w:kern w:val="2"/>
      <w:sz w:val="21"/>
      <w:szCs w:val="24"/>
    </w:rPr>
  </w:style>
  <w:style w:type="paragraph" w:customStyle="1" w:styleId="NewNewNewNewNewNewNewNewNewNew">
    <w:name w:val="正文 New New New New New New New New New New"/>
    <w:qFormat/>
    <w:pPr>
      <w:jc w:val="both"/>
    </w:pPr>
    <w:rPr>
      <w:rFonts w:eastAsia="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file:///C:\Users\Administrator\AppData\Roaming\Tencent\Users\634213617\TIM\WinTemp\RichOle\NYVF%60_YD$CAFJ@%7B_%7D_@FV%7BU.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3</cp:revision>
  <cp:lastPrinted>2018-08-10T03:14:00Z</cp:lastPrinted>
  <dcterms:created xsi:type="dcterms:W3CDTF">2018-04-04T08:22:00Z</dcterms:created>
  <dcterms:modified xsi:type="dcterms:W3CDTF">2019-06-04T07:40:00Z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