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C1" w:rsidRDefault="005E06E9">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6407C1" w:rsidRDefault="005E06E9">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5</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6407C1" w:rsidRDefault="006407C1">
      <w:pPr>
        <w:pStyle w:val="New0"/>
        <w:spacing w:line="375" w:lineRule="atLeast"/>
        <w:jc w:val="center"/>
        <w:rPr>
          <w:rFonts w:eastAsia="仿宋"/>
          <w:sz w:val="32"/>
          <w:szCs w:val="32"/>
          <w:shd w:val="clear" w:color="auto" w:fill="FFFFFF"/>
          <w:lang w:bidi="ar"/>
        </w:rPr>
      </w:pPr>
    </w:p>
    <w:p w:rsidR="006407C1" w:rsidRDefault="005E06E9">
      <w:pPr>
        <w:pStyle w:val="New0"/>
        <w:spacing w:line="375" w:lineRule="atLeast"/>
        <w:ind w:firstLineChars="200" w:firstLine="640"/>
        <w:rPr>
          <w:rFonts w:eastAsia="仿宋"/>
          <w:sz w:val="32"/>
          <w:szCs w:val="32"/>
          <w:shd w:val="clear" w:color="auto" w:fill="FFFFFF"/>
          <w:lang w:bidi="ar"/>
        </w:rPr>
      </w:pPr>
      <w:r>
        <w:rPr>
          <w:rFonts w:ascii="方正仿宋简体" w:eastAsia="方正仿宋简体" w:hAnsi="方正仿宋简体" w:cs="方正仿宋简体" w:hint="eastAsia"/>
          <w:sz w:val="32"/>
          <w:szCs w:val="32"/>
          <w:shd w:val="clear" w:color="auto" w:fill="FFFFFF"/>
        </w:rPr>
        <w:t>省内方面</w:t>
      </w:r>
      <w:r>
        <w:rPr>
          <w:rFonts w:ascii="方正仿宋简体" w:eastAsia="方正仿宋简体" w:hAnsi="方正仿宋简体" w:cs="方正仿宋简体" w:hint="eastAsia"/>
          <w:sz w:val="32"/>
          <w:szCs w:val="32"/>
          <w:shd w:val="clear" w:color="auto" w:fill="FFFFFF"/>
        </w:rPr>
        <w:t>，国产大米价格低迷，</w:t>
      </w:r>
      <w:r>
        <w:rPr>
          <w:rFonts w:ascii="方正仿宋简体" w:eastAsia="方正仿宋简体" w:hAnsi="方正仿宋简体" w:cs="方正仿宋简体" w:hint="eastAsia"/>
          <w:sz w:val="32"/>
          <w:szCs w:val="32"/>
          <w:shd w:val="clear" w:color="auto" w:fill="FFFFFF"/>
          <w:lang w:bidi="ar"/>
        </w:rPr>
        <w:t>批发价低于</w:t>
      </w:r>
      <w:r>
        <w:rPr>
          <w:rFonts w:ascii="方正仿宋简体" w:eastAsia="方正仿宋简体" w:hAnsi="方正仿宋简体" w:cs="方正仿宋简体" w:hint="eastAsia"/>
          <w:sz w:val="32"/>
          <w:szCs w:val="32"/>
          <w:shd w:val="clear" w:color="auto" w:fill="FFFFFF"/>
          <w:lang w:bidi="ar"/>
        </w:rPr>
        <w:t>越南</w:t>
      </w:r>
      <w:r>
        <w:rPr>
          <w:rFonts w:ascii="方正仿宋简体" w:eastAsia="方正仿宋简体" w:hAnsi="方正仿宋简体" w:cs="方正仿宋简体" w:hint="eastAsia"/>
          <w:sz w:val="32"/>
          <w:szCs w:val="32"/>
          <w:shd w:val="clear" w:color="auto" w:fill="FFFFFF"/>
          <w:lang w:bidi="ar"/>
        </w:rPr>
        <w:t>米价格</w:t>
      </w:r>
      <w:r>
        <w:rPr>
          <w:rFonts w:ascii="方正仿宋简体" w:eastAsia="方正仿宋简体" w:hAnsi="方正仿宋简体" w:cs="方正仿宋简体" w:hint="eastAsia"/>
          <w:sz w:val="32"/>
          <w:szCs w:val="32"/>
          <w:shd w:val="clear" w:color="auto" w:fill="FFFFFF"/>
          <w:lang w:bidi="ar"/>
        </w:rPr>
        <w:t>；</w:t>
      </w:r>
      <w:r>
        <w:rPr>
          <w:rFonts w:ascii="方正仿宋简体" w:eastAsia="方正仿宋简体" w:hAnsi="方正仿宋简体" w:cs="方正仿宋简体" w:hint="eastAsia"/>
          <w:sz w:val="32"/>
          <w:szCs w:val="32"/>
          <w:shd w:val="clear" w:color="auto" w:fill="FFFFFF"/>
          <w:lang w:bidi="ar"/>
        </w:rPr>
        <w:t>省内贸易商大量采购政策性玉米，</w:t>
      </w:r>
      <w:r>
        <w:rPr>
          <w:rFonts w:ascii="方正仿宋简体" w:eastAsia="方正仿宋简体" w:hAnsi="方正仿宋简体" w:cs="方正仿宋简体" w:hint="eastAsia"/>
          <w:sz w:val="32"/>
          <w:szCs w:val="32"/>
          <w:shd w:val="clear" w:color="auto" w:fill="FFFFFF"/>
        </w:rPr>
        <w:t>玉米市场流通量增加，港口</w:t>
      </w:r>
      <w:r>
        <w:rPr>
          <w:rFonts w:ascii="方正仿宋简体" w:eastAsia="方正仿宋简体" w:hAnsi="方正仿宋简体" w:cs="方正仿宋简体" w:hint="eastAsia"/>
          <w:sz w:val="32"/>
          <w:szCs w:val="32"/>
          <w:shd w:val="clear" w:color="auto" w:fill="FFFFFF"/>
        </w:rPr>
        <w:t>库存处于三个月以来高位</w:t>
      </w:r>
      <w:r>
        <w:rPr>
          <w:rFonts w:ascii="方正仿宋简体" w:eastAsia="方正仿宋简体" w:hAnsi="方正仿宋简体" w:cs="方正仿宋简体" w:hint="eastAsia"/>
          <w:sz w:val="32"/>
          <w:szCs w:val="32"/>
          <w:shd w:val="clear" w:color="auto" w:fill="FFFFFF"/>
          <w:lang w:bidi="ar"/>
        </w:rPr>
        <w:t>。</w:t>
      </w:r>
      <w:r>
        <w:rPr>
          <w:rFonts w:ascii="方正仿宋简体" w:eastAsia="方正仿宋简体" w:hAnsi="方正仿宋简体" w:cs="方正仿宋简体" w:hint="eastAsia"/>
          <w:sz w:val="32"/>
          <w:szCs w:val="32"/>
          <w:shd w:val="clear" w:color="auto" w:fill="FFFFFF"/>
        </w:rPr>
        <w:t>国内方面</w:t>
      </w:r>
      <w:r>
        <w:rPr>
          <w:rFonts w:ascii="方正仿宋简体" w:eastAsia="方正仿宋简体" w:hAnsi="方正仿宋简体" w:cs="方正仿宋简体" w:hint="eastAsia"/>
          <w:sz w:val="32"/>
          <w:szCs w:val="32"/>
          <w:shd w:val="clear" w:color="auto" w:fill="FFFFFF"/>
        </w:rPr>
        <w:t>，冬小麦长势整体良好</w:t>
      </w:r>
      <w:r>
        <w:rPr>
          <w:rFonts w:ascii="方正仿宋简体" w:eastAsia="方正仿宋简体" w:hAnsi="方正仿宋简体" w:cs="方正仿宋简体" w:hint="eastAsia"/>
          <w:sz w:val="32"/>
          <w:szCs w:val="32"/>
          <w:shd w:val="clear" w:color="auto" w:fill="FFFFFF"/>
        </w:rPr>
        <w:t>，政策性玉米</w:t>
      </w:r>
      <w:r>
        <w:rPr>
          <w:rFonts w:ascii="方正仿宋简体" w:eastAsia="方正仿宋简体" w:hAnsi="方正仿宋简体" w:cs="方正仿宋简体" w:hint="eastAsia"/>
          <w:sz w:val="32"/>
          <w:szCs w:val="32"/>
          <w:shd w:val="clear" w:color="auto" w:fill="FFFFFF"/>
        </w:rPr>
        <w:t>拍卖成交率处于较高水平</w:t>
      </w:r>
      <w:r>
        <w:rPr>
          <w:rFonts w:ascii="方正仿宋简体" w:eastAsia="方正仿宋简体" w:hAnsi="方正仿宋简体" w:cs="方正仿宋简体" w:hint="eastAsia"/>
          <w:sz w:val="32"/>
          <w:szCs w:val="32"/>
          <w:shd w:val="clear" w:color="auto" w:fill="FFFFFF"/>
        </w:rPr>
        <w:t>。国际方面，芝加哥期货交易所（</w:t>
      </w:r>
      <w:r>
        <w:rPr>
          <w:rFonts w:ascii="Times New Roman" w:eastAsia="方正仿宋简体" w:hAnsi="Times New Roman" w:cs="Times New Roman" w:hint="eastAsia"/>
          <w:sz w:val="32"/>
        </w:rPr>
        <w:t>CBOT</w:t>
      </w:r>
      <w:r>
        <w:rPr>
          <w:rFonts w:ascii="方正仿宋简体" w:eastAsia="方正仿宋简体" w:hAnsi="方正仿宋简体" w:cs="方正仿宋简体" w:hint="eastAsia"/>
          <w:sz w:val="32"/>
          <w:szCs w:val="32"/>
          <w:shd w:val="clear" w:color="auto" w:fill="FFFFFF"/>
        </w:rPr>
        <w:t>）</w:t>
      </w:r>
      <w:r>
        <w:rPr>
          <w:rFonts w:ascii="方正仿宋简体" w:eastAsia="方正仿宋简体" w:hAnsi="方正仿宋简体" w:cs="方正仿宋简体" w:hint="eastAsia"/>
          <w:sz w:val="32"/>
          <w:szCs w:val="32"/>
          <w:shd w:val="clear" w:color="auto" w:fill="FFFFFF"/>
        </w:rPr>
        <w:t>玉米、</w:t>
      </w:r>
      <w:r>
        <w:rPr>
          <w:rFonts w:ascii="方正仿宋简体" w:eastAsia="方正仿宋简体" w:hAnsi="方正仿宋简体" w:cs="方正仿宋简体" w:hint="eastAsia"/>
          <w:sz w:val="32"/>
          <w:szCs w:val="32"/>
          <w:shd w:val="clear" w:color="auto" w:fill="FFFFFF"/>
        </w:rPr>
        <w:t>小麦和糙米</w:t>
      </w:r>
      <w:r>
        <w:rPr>
          <w:rFonts w:ascii="方正仿宋简体" w:eastAsia="方正仿宋简体" w:hAnsi="方正仿宋简体" w:cs="方正仿宋简体" w:hint="eastAsia"/>
          <w:sz w:val="32"/>
          <w:szCs w:val="32"/>
          <w:shd w:val="clear" w:color="auto" w:fill="FFFFFF"/>
        </w:rPr>
        <w:t>价格走势温和，而大豆价格则受市场需求下滑预期的影响，出现较大幅度下降</w:t>
      </w:r>
      <w:r>
        <w:rPr>
          <w:rFonts w:ascii="方正仿宋简体" w:eastAsia="方正仿宋简体" w:hAnsi="方正仿宋简体" w:cs="方正仿宋简体" w:hint="eastAsia"/>
          <w:sz w:val="32"/>
          <w:szCs w:val="32"/>
          <w:shd w:val="clear" w:color="auto" w:fill="FFFFFF"/>
        </w:rPr>
        <w:t>。</w:t>
      </w:r>
    </w:p>
    <w:p w:rsidR="006407C1" w:rsidRDefault="005E06E9">
      <w:pPr>
        <w:spacing w:line="600" w:lineRule="exact"/>
        <w:rPr>
          <w:rFonts w:ascii="方正黑体简体" w:eastAsia="方正黑体简体" w:hAnsi="方正黑体简体" w:cs="方正黑体简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6407C1" w:rsidRDefault="005E06E9">
      <w:pPr>
        <w:spacing w:line="600" w:lineRule="exact"/>
        <w:ind w:firstLineChars="200" w:firstLine="640"/>
        <w:rPr>
          <w:rFonts w:ascii="Times New Roman" w:eastAsia="方正仿宋简体" w:hAnsi="Times New Roman" w:cs="Times New Roman"/>
          <w:sz w:val="32"/>
        </w:rPr>
      </w:pPr>
      <w:r>
        <w:rPr>
          <w:rFonts w:ascii="方正仿宋简体" w:eastAsia="方正仿宋简体" w:hAnsi="方正仿宋简体" w:cs="方正仿宋简体" w:hint="eastAsia"/>
          <w:sz w:val="32"/>
          <w:szCs w:val="32"/>
        </w:rPr>
        <w:t>普通晚籼稻收购价</w:t>
      </w:r>
      <w:r>
        <w:rPr>
          <w:rFonts w:ascii="Times New Roman" w:eastAsia="方正仿宋简体" w:hAnsi="Times New Roman" w:cs="Times New Roman" w:hint="eastAsia"/>
          <w:sz w:val="32"/>
        </w:rPr>
        <w:t>3.02</w:t>
      </w:r>
      <w:r>
        <w:rPr>
          <w:rFonts w:ascii="方正仿宋简体" w:eastAsia="方正仿宋简体" w:hAnsi="方正仿宋简体" w:cs="方正仿宋简体" w:hint="eastAsia"/>
          <w:sz w:val="32"/>
          <w:szCs w:val="32"/>
        </w:rPr>
        <w:t>元（每公斤，下同），双周环比下降</w:t>
      </w:r>
      <w:r>
        <w:rPr>
          <w:rFonts w:ascii="Times New Roman" w:eastAsia="方正仿宋简体" w:hAnsi="Times New Roman" w:cs="Times New Roman" w:hint="eastAsia"/>
          <w:sz w:val="32"/>
        </w:rPr>
        <w:t>0.33%</w:t>
      </w:r>
      <w:r>
        <w:rPr>
          <w:rFonts w:ascii="方正仿宋简体" w:eastAsia="方正仿宋简体" w:hAnsi="方正仿宋简体" w:cs="方正仿宋简体" w:hint="eastAsia"/>
          <w:sz w:val="32"/>
          <w:szCs w:val="32"/>
        </w:rPr>
        <w:t>，同</w:t>
      </w:r>
      <w:r>
        <w:rPr>
          <w:rFonts w:ascii="方正仿宋简体" w:eastAsia="方正仿宋简体" w:hAnsi="方正仿宋简体" w:cs="方正仿宋简体" w:hint="eastAsia"/>
          <w:sz w:val="32"/>
          <w:szCs w:val="32"/>
          <w:lang w:bidi="ar"/>
        </w:rPr>
        <w:t>比上涨</w:t>
      </w:r>
      <w:r>
        <w:rPr>
          <w:rFonts w:ascii="Times New Roman" w:eastAsia="方正仿宋简体" w:hAnsi="Times New Roman" w:cs="Times New Roman" w:hint="eastAsia"/>
          <w:sz w:val="32"/>
        </w:rPr>
        <w:t>0.67%</w:t>
      </w:r>
      <w:r>
        <w:rPr>
          <w:rFonts w:ascii="方正仿宋简体" w:eastAsia="方正仿宋简体" w:hAnsi="方正仿宋简体" w:cs="方正仿宋简体" w:hint="eastAsia"/>
          <w:sz w:val="32"/>
          <w:szCs w:val="32"/>
          <w:lang w:bidi="ar"/>
        </w:rPr>
        <w:t>；籼大米批发均价</w:t>
      </w:r>
      <w:r>
        <w:rPr>
          <w:rFonts w:ascii="Times New Roman" w:eastAsia="方正仿宋简体" w:hAnsi="Times New Roman" w:cs="Times New Roman" w:hint="eastAsia"/>
          <w:sz w:val="32"/>
        </w:rPr>
        <w:t>5.29</w:t>
      </w:r>
      <w:r>
        <w:rPr>
          <w:rFonts w:ascii="Times New Roman" w:eastAsia="方正仿宋简体" w:hAnsi="Times New Roman" w:cs="Times New Roman" w:hint="eastAsia"/>
          <w:sz w:val="32"/>
        </w:rPr>
        <w:t>元，双周环比下降</w:t>
      </w:r>
      <w:r>
        <w:rPr>
          <w:rFonts w:ascii="Times New Roman" w:eastAsia="方正仿宋简体" w:hAnsi="Times New Roman" w:cs="Times New Roman" w:hint="eastAsia"/>
          <w:sz w:val="32"/>
        </w:rPr>
        <w:t>0.19%</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3.99%</w:t>
      </w:r>
      <w:r>
        <w:rPr>
          <w:rFonts w:ascii="Times New Roman" w:eastAsia="方正仿宋简体" w:hAnsi="Times New Roman" w:cs="Times New Roman" w:hint="eastAsia"/>
          <w:sz w:val="32"/>
        </w:rPr>
        <w:t>，其中：东莞樟木头粮食批发市场籼大米均价</w:t>
      </w:r>
      <w:r>
        <w:rPr>
          <w:rFonts w:ascii="Times New Roman" w:eastAsia="方正仿宋简体" w:hAnsi="Times New Roman" w:cs="Times New Roman" w:hint="eastAsia"/>
          <w:sz w:val="32"/>
        </w:rPr>
        <w:t>5.02</w:t>
      </w:r>
      <w:r>
        <w:rPr>
          <w:rFonts w:ascii="Times New Roman" w:eastAsia="方正仿宋简体" w:hAnsi="Times New Roman" w:cs="Times New Roman" w:hint="eastAsia"/>
          <w:sz w:val="32"/>
        </w:rPr>
        <w:t>元，双周环比上涨</w:t>
      </w:r>
      <w:r>
        <w:rPr>
          <w:rFonts w:ascii="Times New Roman" w:eastAsia="方正仿宋简体" w:hAnsi="Times New Roman" w:cs="Times New Roman" w:hint="eastAsia"/>
          <w:sz w:val="32"/>
        </w:rPr>
        <w:t>0.4%</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0.99%</w:t>
      </w:r>
      <w:r>
        <w:rPr>
          <w:rFonts w:ascii="Times New Roman" w:eastAsia="方正仿宋简体" w:hAnsi="Times New Roman" w:cs="Times New Roman" w:hint="eastAsia"/>
          <w:sz w:val="32"/>
        </w:rPr>
        <w:t>；籼大米零售均价</w:t>
      </w:r>
      <w:r>
        <w:rPr>
          <w:rFonts w:ascii="Times New Roman" w:eastAsia="方正仿宋简体" w:hAnsi="Times New Roman" w:cs="Times New Roman" w:hint="eastAsia"/>
          <w:sz w:val="32"/>
        </w:rPr>
        <w:t>6.02</w:t>
      </w:r>
      <w:r>
        <w:rPr>
          <w:rFonts w:ascii="Times New Roman" w:eastAsia="方正仿宋简体" w:hAnsi="Times New Roman" w:cs="Times New Roman" w:hint="eastAsia"/>
          <w:sz w:val="32"/>
        </w:rPr>
        <w:t>元，双周环比下降</w:t>
      </w:r>
      <w:r>
        <w:rPr>
          <w:rFonts w:ascii="Times New Roman" w:eastAsia="方正仿宋简体" w:hAnsi="Times New Roman" w:cs="Times New Roman" w:hint="eastAsia"/>
          <w:sz w:val="32"/>
        </w:rPr>
        <w:t>0.82%</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3.06%</w:t>
      </w:r>
      <w:r>
        <w:rPr>
          <w:rFonts w:ascii="Times New Roman" w:eastAsia="方正仿宋简体" w:hAnsi="Times New Roman" w:cs="Times New Roman" w:hint="eastAsia"/>
          <w:sz w:val="32"/>
        </w:rPr>
        <w:t>；泰国香米零售价</w:t>
      </w:r>
      <w:r>
        <w:rPr>
          <w:rFonts w:ascii="Times New Roman" w:eastAsia="方正仿宋简体" w:hAnsi="Times New Roman" w:cs="Times New Roman" w:hint="eastAsia"/>
          <w:sz w:val="32"/>
        </w:rPr>
        <w:t>11.87</w:t>
      </w:r>
      <w:r>
        <w:rPr>
          <w:rFonts w:ascii="Times New Roman" w:eastAsia="方正仿宋简体" w:hAnsi="Times New Roman" w:cs="Times New Roman" w:hint="eastAsia"/>
          <w:sz w:val="32"/>
        </w:rPr>
        <w:t>元，双周环比下降</w:t>
      </w:r>
      <w:r>
        <w:rPr>
          <w:rFonts w:ascii="Times New Roman" w:eastAsia="方正仿宋简体" w:hAnsi="Times New Roman" w:cs="Times New Roman" w:hint="eastAsia"/>
          <w:sz w:val="32"/>
        </w:rPr>
        <w:t>0.08%</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3.81%</w:t>
      </w:r>
      <w:r>
        <w:rPr>
          <w:rFonts w:ascii="Times New Roman" w:eastAsia="方正仿宋简体" w:hAnsi="Times New Roman" w:cs="Times New Roman" w:hint="eastAsia"/>
          <w:sz w:val="32"/>
        </w:rPr>
        <w:t>。</w:t>
      </w:r>
    </w:p>
    <w:p w:rsidR="006407C1" w:rsidRDefault="005E06E9">
      <w:pPr>
        <w:spacing w:line="600" w:lineRule="exact"/>
        <w:ind w:firstLineChars="200" w:firstLine="640"/>
        <w:rPr>
          <w:rFonts w:ascii="Times New Roman" w:eastAsia="方正仿宋简体" w:hAnsi="Times New Roman" w:cs="Times New Roman"/>
          <w:sz w:val="32"/>
        </w:rPr>
      </w:pPr>
      <w:r>
        <w:rPr>
          <w:rFonts w:ascii="Times New Roman" w:eastAsia="方正仿宋简体" w:hAnsi="Times New Roman" w:cs="Times New Roman" w:hint="eastAsia"/>
          <w:sz w:val="32"/>
        </w:rPr>
        <w:t>小麦批发价</w:t>
      </w:r>
      <w:r>
        <w:rPr>
          <w:rFonts w:ascii="Times New Roman" w:eastAsia="方正仿宋简体" w:hAnsi="Times New Roman" w:cs="Times New Roman" w:hint="eastAsia"/>
          <w:sz w:val="32"/>
        </w:rPr>
        <w:t>2.69</w:t>
      </w:r>
      <w:r>
        <w:rPr>
          <w:rFonts w:ascii="Times New Roman" w:eastAsia="方正仿宋简体" w:hAnsi="Times New Roman" w:cs="Times New Roman" w:hint="eastAsia"/>
          <w:sz w:val="32"/>
        </w:rPr>
        <w:t>元，双周环比上涨</w:t>
      </w:r>
      <w:r>
        <w:rPr>
          <w:rFonts w:ascii="Times New Roman" w:eastAsia="方正仿宋简体" w:hAnsi="Times New Roman" w:cs="Times New Roman" w:hint="eastAsia"/>
          <w:sz w:val="32"/>
        </w:rPr>
        <w:t>0.75%</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3.58%</w:t>
      </w:r>
      <w:r>
        <w:rPr>
          <w:rFonts w:ascii="Times New Roman" w:eastAsia="方正仿宋简体" w:hAnsi="Times New Roman" w:cs="Times New Roman" w:hint="eastAsia"/>
          <w:sz w:val="32"/>
        </w:rPr>
        <w:t>；小麦粉批发价</w:t>
      </w:r>
      <w:r>
        <w:rPr>
          <w:rFonts w:ascii="Times New Roman" w:eastAsia="方正仿宋简体" w:hAnsi="Times New Roman" w:cs="Times New Roman" w:hint="eastAsia"/>
          <w:sz w:val="32"/>
        </w:rPr>
        <w:t>4.22</w:t>
      </w:r>
      <w:r>
        <w:rPr>
          <w:rFonts w:ascii="Times New Roman" w:eastAsia="方正仿宋简体" w:hAnsi="Times New Roman" w:cs="Times New Roman" w:hint="eastAsia"/>
          <w:sz w:val="32"/>
        </w:rPr>
        <w:t>元，双周环比上涨</w:t>
      </w:r>
      <w:r>
        <w:rPr>
          <w:rFonts w:ascii="Times New Roman" w:eastAsia="方正仿宋简体" w:hAnsi="Times New Roman" w:cs="Times New Roman" w:hint="eastAsia"/>
          <w:sz w:val="32"/>
        </w:rPr>
        <w:t>0.24%</w:t>
      </w:r>
      <w:r>
        <w:rPr>
          <w:rFonts w:ascii="Times New Roman" w:eastAsia="方正仿宋简体" w:hAnsi="Times New Roman" w:cs="Times New Roman" w:hint="eastAsia"/>
          <w:sz w:val="32"/>
        </w:rPr>
        <w:t>，同比上涨</w:t>
      </w:r>
      <w:r>
        <w:rPr>
          <w:rFonts w:ascii="Times New Roman" w:eastAsia="方正仿宋简体" w:hAnsi="Times New Roman" w:cs="Times New Roman" w:hint="eastAsia"/>
          <w:sz w:val="32"/>
        </w:rPr>
        <w:t>2.43%</w:t>
      </w:r>
      <w:r>
        <w:rPr>
          <w:rFonts w:ascii="Times New Roman" w:eastAsia="方正仿宋简体" w:hAnsi="Times New Roman" w:cs="Times New Roman" w:hint="eastAsia"/>
          <w:sz w:val="32"/>
        </w:rPr>
        <w:t>；小麦粉零售价</w:t>
      </w:r>
      <w:r>
        <w:rPr>
          <w:rFonts w:ascii="Times New Roman" w:eastAsia="方正仿宋简体" w:hAnsi="Times New Roman" w:cs="Times New Roman" w:hint="eastAsia"/>
          <w:sz w:val="32"/>
        </w:rPr>
        <w:t>7</w:t>
      </w:r>
      <w:r>
        <w:rPr>
          <w:rFonts w:ascii="Times New Roman" w:eastAsia="方正仿宋简体" w:hAnsi="Times New Roman" w:cs="Times New Roman" w:hint="eastAsia"/>
          <w:sz w:val="32"/>
        </w:rPr>
        <w:t>元，双周环比上涨</w:t>
      </w:r>
      <w:r>
        <w:rPr>
          <w:rFonts w:ascii="Times New Roman" w:eastAsia="方正仿宋简体" w:hAnsi="Times New Roman" w:cs="Times New Roman" w:hint="eastAsia"/>
          <w:sz w:val="32"/>
        </w:rPr>
        <w:t>1.01%</w:t>
      </w:r>
      <w:r>
        <w:rPr>
          <w:rFonts w:ascii="Times New Roman" w:eastAsia="方正仿宋简体" w:hAnsi="Times New Roman" w:cs="Times New Roman" w:hint="eastAsia"/>
          <w:sz w:val="32"/>
        </w:rPr>
        <w:t>，同比上涨</w:t>
      </w:r>
      <w:r>
        <w:rPr>
          <w:rFonts w:ascii="Times New Roman" w:eastAsia="方正仿宋简体" w:hAnsi="Times New Roman" w:cs="Times New Roman" w:hint="eastAsia"/>
          <w:sz w:val="32"/>
        </w:rPr>
        <w:t>14.01%</w:t>
      </w:r>
      <w:r>
        <w:rPr>
          <w:rFonts w:ascii="Times New Roman" w:eastAsia="方正仿宋简体" w:hAnsi="Times New Roman" w:cs="Times New Roman" w:hint="eastAsia"/>
          <w:sz w:val="32"/>
        </w:rPr>
        <w:t>。</w:t>
      </w:r>
    </w:p>
    <w:p w:rsidR="006407C1" w:rsidRDefault="005E06E9">
      <w:pPr>
        <w:spacing w:line="600" w:lineRule="exact"/>
        <w:ind w:firstLineChars="200" w:firstLine="640"/>
        <w:rPr>
          <w:rFonts w:ascii="方正仿宋简体" w:eastAsia="方正仿宋简体" w:hAnsi="方正仿宋简体" w:cs="方正仿宋简体"/>
          <w:sz w:val="32"/>
          <w:szCs w:val="32"/>
          <w:lang w:bidi="ar"/>
        </w:rPr>
      </w:pPr>
      <w:r>
        <w:rPr>
          <w:rFonts w:ascii="Times New Roman" w:eastAsia="方正仿宋简体" w:hAnsi="Times New Roman" w:cs="Times New Roman" w:hint="eastAsia"/>
          <w:sz w:val="32"/>
        </w:rPr>
        <w:t>玉米批发价</w:t>
      </w:r>
      <w:r>
        <w:rPr>
          <w:rFonts w:ascii="Times New Roman" w:eastAsia="方正仿宋简体" w:hAnsi="Times New Roman" w:cs="Times New Roman" w:hint="eastAsia"/>
          <w:sz w:val="32"/>
        </w:rPr>
        <w:t>1.93</w:t>
      </w:r>
      <w:r>
        <w:rPr>
          <w:rFonts w:ascii="Times New Roman" w:eastAsia="方正仿宋简体" w:hAnsi="Times New Roman" w:cs="Times New Roman" w:hint="eastAsia"/>
          <w:sz w:val="32"/>
        </w:rPr>
        <w:t>元</w:t>
      </w:r>
      <w:r>
        <w:rPr>
          <w:rFonts w:ascii="Times New Roman" w:eastAsia="方正仿宋简体" w:hAnsi="Times New Roman" w:cs="Times New Roman" w:hint="eastAsia"/>
          <w:sz w:val="32"/>
        </w:rPr>
        <w:t>，双周环比下降</w:t>
      </w:r>
      <w:r>
        <w:rPr>
          <w:rFonts w:ascii="Times New Roman" w:eastAsia="方正仿宋简体" w:hAnsi="Times New Roman" w:cs="Times New Roman" w:hint="eastAsia"/>
          <w:sz w:val="32"/>
        </w:rPr>
        <w:t>0.82%</w:t>
      </w:r>
      <w:r>
        <w:rPr>
          <w:rFonts w:ascii="Times New Roman" w:eastAsia="方正仿宋简体" w:hAnsi="Times New Roman" w:cs="Times New Roman" w:hint="eastAsia"/>
          <w:sz w:val="32"/>
        </w:rPr>
        <w:t>，同比上涨</w:t>
      </w:r>
      <w:r>
        <w:rPr>
          <w:rFonts w:ascii="Times New Roman" w:eastAsia="方正仿宋简体" w:hAnsi="Times New Roman" w:cs="Times New Roman" w:hint="eastAsia"/>
          <w:sz w:val="32"/>
        </w:rPr>
        <w:t>8.79%</w:t>
      </w:r>
      <w:r>
        <w:rPr>
          <w:rFonts w:ascii="方正仿宋简体" w:eastAsia="方正仿宋简体" w:hAnsi="方正仿宋简体" w:cs="方正仿宋简体" w:hint="eastAsia"/>
          <w:sz w:val="32"/>
          <w:szCs w:val="32"/>
          <w:lang w:bidi="ar"/>
        </w:rPr>
        <w:t>。</w:t>
      </w:r>
    </w:p>
    <w:p w:rsidR="006407C1" w:rsidRDefault="006407C1">
      <w:pPr>
        <w:spacing w:line="500" w:lineRule="exact"/>
        <w:ind w:firstLineChars="200" w:firstLine="640"/>
        <w:rPr>
          <w:rFonts w:ascii="方正仿宋简体" w:eastAsia="方正仿宋简体" w:hAnsi="方正仿宋简体" w:cs="方正仿宋简体"/>
          <w:sz w:val="32"/>
          <w:szCs w:val="32"/>
          <w:lang w:bidi="ar"/>
        </w:rPr>
      </w:pPr>
    </w:p>
    <w:p w:rsidR="006407C1" w:rsidRDefault="005E06E9">
      <w:pPr>
        <w:spacing w:line="600" w:lineRule="exact"/>
        <w:ind w:firstLineChars="200" w:firstLine="640"/>
        <w:rPr>
          <w:rFonts w:ascii="方正仿宋简体" w:eastAsia="方正仿宋简体" w:hAnsi="方正仿宋简体" w:cs="方正仿宋简体"/>
          <w:sz w:val="32"/>
          <w:szCs w:val="32"/>
          <w:lang w:bidi="ar"/>
        </w:rPr>
      </w:pPr>
      <w:r>
        <w:rPr>
          <w:rFonts w:ascii="方正仿宋简体" w:eastAsia="方正仿宋简体" w:hAnsi="方正仿宋简体" w:cs="方正仿宋简体" w:hint="eastAsia"/>
          <w:noProof/>
          <w:sz w:val="32"/>
          <w:szCs w:val="32"/>
        </w:rPr>
        <w:drawing>
          <wp:anchor distT="0" distB="0" distL="114300" distR="114300" simplePos="0" relativeHeight="251658240" behindDoc="1" locked="0" layoutInCell="1" allowOverlap="1">
            <wp:simplePos x="0" y="0"/>
            <wp:positionH relativeFrom="column">
              <wp:posOffset>-22225</wp:posOffset>
            </wp:positionH>
            <wp:positionV relativeFrom="paragraph">
              <wp:posOffset>76835</wp:posOffset>
            </wp:positionV>
            <wp:extent cx="5268595" cy="2742565"/>
            <wp:effectExtent l="0" t="0" r="8255" b="635"/>
            <wp:wrapTight wrapText="bothSides">
              <wp:wrapPolygon edited="0">
                <wp:start x="0" y="0"/>
                <wp:lineTo x="0" y="21455"/>
                <wp:lineTo x="21556" y="21455"/>
                <wp:lineTo x="21556" y="0"/>
                <wp:lineTo x="0" y="0"/>
              </wp:wrapPolygon>
            </wp:wrapTight>
            <wp:docPr id="1" name="图片 11" descr="1526370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1526370520(1)"/>
                    <pic:cNvPicPr>
                      <a:picLocks noChangeAspect="1"/>
                    </pic:cNvPicPr>
                  </pic:nvPicPr>
                  <pic:blipFill>
                    <a:blip r:embed="rId7"/>
                    <a:stretch>
                      <a:fillRect/>
                    </a:stretch>
                  </pic:blipFill>
                  <pic:spPr>
                    <a:xfrm>
                      <a:off x="0" y="0"/>
                      <a:ext cx="5268595" cy="2742565"/>
                    </a:xfrm>
                    <a:prstGeom prst="rect">
                      <a:avLst/>
                    </a:prstGeom>
                    <a:noFill/>
                    <a:ln w="9525">
                      <a:noFill/>
                    </a:ln>
                  </pic:spPr>
                </pic:pic>
              </a:graphicData>
            </a:graphic>
          </wp:anchor>
        </w:drawing>
      </w:r>
      <w:r>
        <w:rPr>
          <w:rFonts w:ascii="方正仿宋简体" w:eastAsia="方正仿宋简体" w:hAnsi="方正仿宋简体" w:cs="方正仿宋简体" w:hint="eastAsia"/>
          <w:sz w:val="32"/>
          <w:szCs w:val="32"/>
          <w:lang w:bidi="ar"/>
        </w:rPr>
        <w:t>食用植物油批发均价</w:t>
      </w:r>
      <w:r>
        <w:rPr>
          <w:rFonts w:ascii="Times New Roman" w:eastAsia="方正仿宋简体" w:hAnsi="Times New Roman" w:cs="Times New Roman" w:hint="eastAsia"/>
          <w:sz w:val="32"/>
        </w:rPr>
        <w:t>17.42</w:t>
      </w:r>
      <w:r>
        <w:rPr>
          <w:rFonts w:ascii="方正仿宋简体" w:eastAsia="方正仿宋简体" w:hAnsi="方正仿宋简体" w:cs="方正仿宋简体" w:hint="eastAsia"/>
          <w:sz w:val="32"/>
          <w:szCs w:val="32"/>
          <w:lang w:bidi="ar"/>
        </w:rPr>
        <w:t>元（每升，下同），双周环比下降</w:t>
      </w:r>
      <w:r>
        <w:rPr>
          <w:rFonts w:ascii="Times New Roman" w:eastAsia="方正仿宋简体" w:hAnsi="Times New Roman" w:cs="Times New Roman" w:hint="eastAsia"/>
          <w:sz w:val="32"/>
        </w:rPr>
        <w:t>1.69%</w:t>
      </w:r>
      <w:r>
        <w:rPr>
          <w:rFonts w:ascii="方正仿宋简体" w:eastAsia="方正仿宋简体" w:hAnsi="方正仿宋简体" w:cs="方正仿宋简体" w:hint="eastAsia"/>
          <w:sz w:val="32"/>
          <w:szCs w:val="32"/>
          <w:lang w:bidi="ar"/>
        </w:rPr>
        <w:t>，同比下降</w:t>
      </w:r>
      <w:r>
        <w:rPr>
          <w:rFonts w:ascii="Times New Roman" w:eastAsia="方正仿宋简体" w:hAnsi="Times New Roman" w:cs="Times New Roman" w:hint="eastAsia"/>
          <w:sz w:val="32"/>
        </w:rPr>
        <w:t>1.87%</w:t>
      </w:r>
      <w:r>
        <w:rPr>
          <w:rFonts w:ascii="方正仿宋简体" w:eastAsia="方正仿宋简体" w:hAnsi="方正仿宋简体" w:cs="方正仿宋简体" w:hint="eastAsia"/>
          <w:sz w:val="32"/>
          <w:szCs w:val="32"/>
          <w:lang w:bidi="ar"/>
        </w:rPr>
        <w:t>。其中，花生油批发均价</w:t>
      </w:r>
      <w:r>
        <w:rPr>
          <w:rFonts w:ascii="Times New Roman" w:eastAsia="方正仿宋简体" w:hAnsi="Times New Roman" w:cs="Times New Roman" w:hint="eastAsia"/>
          <w:sz w:val="32"/>
        </w:rPr>
        <w:t>21.34</w:t>
      </w:r>
      <w:r>
        <w:rPr>
          <w:rFonts w:ascii="方正仿宋简体" w:eastAsia="方正仿宋简体" w:hAnsi="方正仿宋简体" w:cs="方正仿宋简体" w:hint="eastAsia"/>
          <w:sz w:val="32"/>
          <w:szCs w:val="32"/>
          <w:lang w:bidi="ar"/>
        </w:rPr>
        <w:t>元，双周环比</w:t>
      </w:r>
      <w:r>
        <w:rPr>
          <w:rFonts w:ascii="方正仿宋简体" w:eastAsia="方正仿宋简体" w:hAnsi="方正仿宋简体" w:cs="方正仿宋简体" w:hint="eastAsia"/>
          <w:sz w:val="32"/>
          <w:szCs w:val="32"/>
          <w:lang w:bidi="ar"/>
        </w:rPr>
        <w:t>上涨</w:t>
      </w:r>
      <w:r>
        <w:rPr>
          <w:rFonts w:ascii="Times New Roman" w:eastAsia="方正仿宋简体" w:hAnsi="Times New Roman" w:cs="Times New Roman" w:hint="eastAsia"/>
          <w:sz w:val="32"/>
        </w:rPr>
        <w:t>0.05%</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2.19%</w:t>
      </w:r>
      <w:r>
        <w:rPr>
          <w:rFonts w:ascii="Times New Roman" w:eastAsia="方正仿宋简体" w:hAnsi="Times New Roman" w:cs="Times New Roman" w:hint="eastAsia"/>
          <w:sz w:val="32"/>
        </w:rPr>
        <w:t>。食用植物油零售均价</w:t>
      </w:r>
      <w:r>
        <w:rPr>
          <w:rFonts w:ascii="Times New Roman" w:eastAsia="方正仿宋简体" w:hAnsi="Times New Roman" w:cs="Times New Roman" w:hint="eastAsia"/>
          <w:sz w:val="32"/>
        </w:rPr>
        <w:t>20.05</w:t>
      </w:r>
      <w:r>
        <w:rPr>
          <w:rFonts w:ascii="Times New Roman" w:eastAsia="方正仿宋简体" w:hAnsi="Times New Roman" w:cs="Times New Roman" w:hint="eastAsia"/>
          <w:sz w:val="32"/>
        </w:rPr>
        <w:t>元，双周环比下降</w:t>
      </w:r>
      <w:r>
        <w:rPr>
          <w:rFonts w:ascii="Times New Roman" w:eastAsia="方正仿宋简体" w:hAnsi="Times New Roman" w:cs="Times New Roman" w:hint="eastAsia"/>
          <w:sz w:val="32"/>
        </w:rPr>
        <w:t>0.64%</w:t>
      </w:r>
      <w:r>
        <w:rPr>
          <w:rFonts w:ascii="Times New Roman" w:eastAsia="方正仿宋简体" w:hAnsi="Times New Roman" w:cs="Times New Roman" w:hint="eastAsia"/>
          <w:sz w:val="32"/>
        </w:rPr>
        <w:t>，同比下降</w:t>
      </w:r>
      <w:r>
        <w:rPr>
          <w:rFonts w:ascii="Times New Roman" w:eastAsia="方正仿宋简体" w:hAnsi="Times New Roman" w:cs="Times New Roman" w:hint="eastAsia"/>
          <w:sz w:val="32"/>
        </w:rPr>
        <w:t>0.98%</w:t>
      </w:r>
      <w:r>
        <w:rPr>
          <w:rFonts w:ascii="Times New Roman" w:eastAsia="方正仿宋简体" w:hAnsi="Times New Roman" w:cs="Times New Roman" w:hint="eastAsia"/>
          <w:sz w:val="32"/>
        </w:rPr>
        <w:t>。其中，花生油零售均价</w:t>
      </w:r>
      <w:r>
        <w:rPr>
          <w:rFonts w:ascii="Times New Roman" w:eastAsia="方正仿宋简体" w:hAnsi="Times New Roman" w:cs="Times New Roman" w:hint="eastAsia"/>
          <w:sz w:val="32"/>
        </w:rPr>
        <w:t>24.55</w:t>
      </w:r>
      <w:r>
        <w:rPr>
          <w:rFonts w:ascii="Times New Roman" w:eastAsia="方正仿宋简体" w:hAnsi="Times New Roman" w:cs="Times New Roman" w:hint="eastAsia"/>
          <w:sz w:val="32"/>
        </w:rPr>
        <w:t>元，双周环比上涨</w:t>
      </w:r>
      <w:r>
        <w:rPr>
          <w:rFonts w:ascii="Times New Roman" w:eastAsia="方正仿宋简体" w:hAnsi="Times New Roman" w:cs="Times New Roman" w:hint="eastAsia"/>
          <w:sz w:val="32"/>
        </w:rPr>
        <w:t>1.45%</w:t>
      </w:r>
      <w:r>
        <w:rPr>
          <w:rFonts w:ascii="Times New Roman" w:eastAsia="方正仿宋简体" w:hAnsi="Times New Roman" w:cs="Times New Roman" w:hint="eastAsia"/>
          <w:sz w:val="32"/>
        </w:rPr>
        <w:t>，同比上涨</w:t>
      </w:r>
      <w:r>
        <w:rPr>
          <w:rFonts w:ascii="Times New Roman" w:eastAsia="方正仿宋简体" w:hAnsi="Times New Roman" w:cs="Times New Roman" w:hint="eastAsia"/>
          <w:sz w:val="32"/>
        </w:rPr>
        <w:t>0.99%</w:t>
      </w:r>
      <w:r>
        <w:rPr>
          <w:rFonts w:ascii="Times New Roman" w:eastAsia="方正仿宋简体" w:hAnsi="Times New Roman" w:cs="Times New Roman" w:hint="eastAsia"/>
          <w:sz w:val="32"/>
        </w:rPr>
        <w:t>。</w:t>
      </w:r>
    </w:p>
    <w:p w:rsidR="006407C1" w:rsidRDefault="006407C1">
      <w:pPr>
        <w:spacing w:line="500" w:lineRule="exact"/>
        <w:ind w:firstLineChars="200" w:firstLine="640"/>
        <w:rPr>
          <w:rFonts w:ascii="方正仿宋简体" w:eastAsia="方正仿宋简体" w:hAnsi="方正仿宋简体" w:cs="方正仿宋简体"/>
          <w:sz w:val="32"/>
          <w:szCs w:val="32"/>
          <w:lang w:bidi="ar"/>
        </w:rPr>
      </w:pPr>
    </w:p>
    <w:p w:rsidR="006407C1" w:rsidRDefault="005E06E9">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noProof/>
          <w:sz w:val="32"/>
          <w:szCs w:val="32"/>
        </w:rPr>
        <w:lastRenderedPageBreak/>
        <w:drawing>
          <wp:anchor distT="0" distB="0" distL="114300" distR="114300" simplePos="0" relativeHeight="251659264" behindDoc="1" locked="0" layoutInCell="1" allowOverlap="1">
            <wp:simplePos x="0" y="0"/>
            <wp:positionH relativeFrom="column">
              <wp:posOffset>-12700</wp:posOffset>
            </wp:positionH>
            <wp:positionV relativeFrom="paragraph">
              <wp:posOffset>85725</wp:posOffset>
            </wp:positionV>
            <wp:extent cx="5273675" cy="2800985"/>
            <wp:effectExtent l="0" t="0" r="3175" b="18415"/>
            <wp:wrapTight wrapText="bothSides">
              <wp:wrapPolygon edited="0">
                <wp:start x="0" y="0"/>
                <wp:lineTo x="0" y="21448"/>
                <wp:lineTo x="21535" y="21448"/>
                <wp:lineTo x="21535" y="0"/>
                <wp:lineTo x="0" y="0"/>
              </wp:wrapPolygon>
            </wp:wrapTight>
            <wp:docPr id="3" name="图片 12" descr="1526370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1526370646(1)"/>
                    <pic:cNvPicPr>
                      <a:picLocks noChangeAspect="1"/>
                    </pic:cNvPicPr>
                  </pic:nvPicPr>
                  <pic:blipFill>
                    <a:blip r:embed="rId8"/>
                    <a:stretch>
                      <a:fillRect/>
                    </a:stretch>
                  </pic:blipFill>
                  <pic:spPr>
                    <a:xfrm>
                      <a:off x="0" y="0"/>
                      <a:ext cx="5273675" cy="2800985"/>
                    </a:xfrm>
                    <a:prstGeom prst="rect">
                      <a:avLst/>
                    </a:prstGeom>
                    <a:noFill/>
                    <a:ln w="9525">
                      <a:noFill/>
                    </a:ln>
                  </pic:spPr>
                </pic:pic>
              </a:graphicData>
            </a:graphic>
          </wp:anchor>
        </w:drawing>
      </w:r>
      <w:r>
        <w:rPr>
          <w:rFonts w:ascii="方正黑体简体" w:eastAsia="方正黑体简体" w:hAnsi="方正黑体简体" w:cs="方正黑体简体" w:hint="eastAsia"/>
          <w:sz w:val="32"/>
          <w:szCs w:val="32"/>
          <w:shd w:val="clear" w:color="auto" w:fill="FFFFFF"/>
        </w:rPr>
        <w:t>二、国内市场粮油价格变化情况</w:t>
      </w:r>
    </w:p>
    <w:p w:rsidR="006407C1" w:rsidRDefault="005E06E9">
      <w:pPr>
        <w:spacing w:line="600" w:lineRule="exact"/>
        <w:ind w:firstLineChars="200" w:firstLine="640"/>
        <w:rPr>
          <w:rFonts w:ascii="仿宋" w:eastAsia="仿宋" w:hAnsi="仿宋" w:cs="仿宋"/>
          <w:sz w:val="32"/>
          <w:szCs w:val="32"/>
        </w:rPr>
      </w:pPr>
      <w:r>
        <w:rPr>
          <w:rFonts w:ascii="方正仿宋简体" w:eastAsia="方正仿宋简体" w:hAnsi="方正仿宋简体" w:cs="方正仿宋简体" w:hint="eastAsia"/>
          <w:sz w:val="32"/>
          <w:szCs w:val="32"/>
        </w:rPr>
        <w:t>据国家粮油信息中心数据，普通晚籼稻批发价双周环比下降</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.54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，同比下降</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.46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；籼大米批发价双周环比下降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7</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；小麦批发价双周环比下降</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.08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，同比下降</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11.75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；大豆油批发价双周环比上涨</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.19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；花生油批发价双周环比持平，同比下降</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2.69</w:t>
      </w:r>
      <w:r>
        <w:rPr>
          <w:rFonts w:ascii="Times New Roman" w:eastAsia="方正仿宋简体" w:hAnsi="Times New Roman" w:cs="Times New Roman"/>
          <w:sz w:val="32"/>
          <w:szCs w:val="32"/>
          <w:lang w:bidi="ar"/>
        </w:rPr>
        <w:t>%</w:t>
      </w:r>
      <w:r>
        <w:rPr>
          <w:rFonts w:ascii="方正仿宋简体" w:eastAsia="方正仿宋简体" w:hAnsi="方正仿宋简体" w:cs="方正仿宋简体" w:hint="eastAsia"/>
          <w:sz w:val="32"/>
          <w:szCs w:val="32"/>
          <w:lang w:bidi="ar"/>
        </w:rPr>
        <w:t>。</w:t>
      </w:r>
    </w:p>
    <w:p w:rsidR="006407C1" w:rsidRDefault="005E06E9">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6407C1" w:rsidRDefault="005E06E9">
      <w:pPr>
        <w:spacing w:line="560" w:lineRule="exact"/>
        <w:ind w:firstLineChars="200" w:firstLine="640"/>
      </w:pPr>
      <w:r>
        <w:rPr>
          <w:rFonts w:ascii="Times New Roman" w:eastAsia="方正仿宋简体" w:hAnsi="Times New Roman" w:cs="Times New Roman"/>
          <w:sz w:val="32"/>
          <w:szCs w:val="32"/>
          <w:lang w:bidi="ar"/>
        </w:rPr>
        <w:t>双周环比，芝加哥期货交易所（</w:t>
      </w:r>
      <w:r>
        <w:rPr>
          <w:rFonts w:ascii="Times New Roman" w:eastAsia="方正仿宋简体" w:hAnsi="Times New Roman" w:cs="Times New Roman"/>
          <w:sz w:val="32"/>
          <w:szCs w:val="32"/>
          <w:lang w:bidi="ar"/>
        </w:rPr>
        <w:t>CBOT</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大豆、糙米、</w:t>
      </w:r>
      <w:r>
        <w:rPr>
          <w:rFonts w:ascii="Times New Roman" w:eastAsia="方正仿宋简体" w:hAnsi="Times New Roman" w:cs="Times New Roman"/>
          <w:sz w:val="32"/>
          <w:szCs w:val="32"/>
          <w:lang w:bidi="ar"/>
        </w:rPr>
        <w:t>玉米价格</w:t>
      </w:r>
      <w:r>
        <w:rPr>
          <w:rFonts w:ascii="Times New Roman" w:eastAsia="方正仿宋简体" w:hAnsi="Times New Roman" w:cs="Times New Roman"/>
          <w:sz w:val="32"/>
          <w:szCs w:val="32"/>
          <w:lang w:bidi="ar"/>
        </w:rPr>
        <w:t>分别</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5.02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1.9%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0.5%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小麦价格上涨</w:t>
      </w:r>
      <w:r>
        <w:rPr>
          <w:rFonts w:ascii="Times New Roman" w:eastAsia="方正仿宋简体" w:hAnsi="Times New Roman" w:cs="Times New Roman"/>
          <w:sz w:val="32"/>
          <w:szCs w:val="32"/>
          <w:lang w:bidi="ar"/>
        </w:rPr>
        <w:t>0.04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。泰国和越南大米现货离岸价为</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8</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美元</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吨（均为</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破碎率），分别</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和</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1.35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。深圳地区越南大米批发价</w:t>
      </w:r>
      <w:r>
        <w:rPr>
          <w:rFonts w:ascii="Times New Roman" w:eastAsia="方正仿宋简体" w:hAnsi="Times New Roman" w:cs="Times New Roman"/>
          <w:sz w:val="32"/>
          <w:szCs w:val="32"/>
          <w:lang w:bidi="ar"/>
        </w:rPr>
        <w:t>3.7</w:t>
      </w:r>
      <w:r>
        <w:rPr>
          <w:rFonts w:ascii="Times New Roman" w:eastAsia="方正仿宋简体" w:hAnsi="Times New Roman" w:cs="Times New Roman"/>
          <w:sz w:val="32"/>
          <w:szCs w:val="32"/>
          <w:lang w:bidi="ar"/>
        </w:rPr>
        <w:t>元，双周环比持平，比同等级国产大米批发价高</w:t>
      </w:r>
      <w:r>
        <w:rPr>
          <w:rFonts w:ascii="Times New Roman" w:eastAsia="方正仿宋简体" w:hAnsi="Times New Roman" w:cs="Times New Roman"/>
          <w:sz w:val="32"/>
          <w:szCs w:val="32"/>
          <w:lang w:bidi="ar"/>
        </w:rPr>
        <w:t>5.11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bookmarkStart w:id="0" w:name="_GoBack"/>
      <w:bookmarkEnd w:id="0"/>
    </w:p>
    <w:sectPr w:rsidR="006407C1">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E9" w:rsidRDefault="005E06E9">
      <w:r>
        <w:separator/>
      </w:r>
    </w:p>
  </w:endnote>
  <w:endnote w:type="continuationSeparator" w:id="0">
    <w:p w:rsidR="005E06E9" w:rsidRDefault="005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1" w:rsidRDefault="005E06E9">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7220" cy="2235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17220"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07C1" w:rsidRDefault="005E06E9">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50ACB">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6pt;margin-top:0;width:48.6pt;height:17.6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" filled="f" stroked="f" strokeweight=".5pt">
              <v:textbox inset="0,0,0,0">
                <w:txbxContent>
                  <w:p w:rsidR="006407C1" w:rsidRDefault="005E06E9">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50ACB">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E9" w:rsidRDefault="005E06E9">
      <w:r>
        <w:separator/>
      </w:r>
    </w:p>
  </w:footnote>
  <w:footnote w:type="continuationSeparator" w:id="0">
    <w:p w:rsidR="005E06E9" w:rsidRDefault="005E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5E06E9"/>
    <w:rsid w:val="006407C1"/>
    <w:rsid w:val="00650ACB"/>
    <w:rsid w:val="03282C01"/>
    <w:rsid w:val="04B7797C"/>
    <w:rsid w:val="11883694"/>
    <w:rsid w:val="1C136791"/>
    <w:rsid w:val="257319C6"/>
    <w:rsid w:val="294947F4"/>
    <w:rsid w:val="2AFA2345"/>
    <w:rsid w:val="2E544646"/>
    <w:rsid w:val="355F26FC"/>
    <w:rsid w:val="387B44F0"/>
    <w:rsid w:val="4C6851D0"/>
    <w:rsid w:val="4E905136"/>
    <w:rsid w:val="54924520"/>
    <w:rsid w:val="5F816592"/>
    <w:rsid w:val="6DA779A7"/>
    <w:rsid w:val="776821E5"/>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A95B3-4ADD-4EF5-BF85-B1B3A64E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2018-05-07T07:35:00Z</cp:lastPrinted>
  <dcterms:created xsi:type="dcterms:W3CDTF">2018-04-04T08:22:00Z</dcterms:created>
  <dcterms:modified xsi:type="dcterms:W3CDTF">2019-06-04T07:47:00Z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