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132" w:rsidRDefault="003D3560">
      <w:pPr>
        <w:shd w:val="clear" w:color="auto" w:fill="FFFFFF"/>
        <w:spacing w:line="300" w:lineRule="atLeast"/>
        <w:jc w:val="center"/>
        <w:rPr>
          <w:rFonts w:ascii="方正小标宋简体" w:eastAsia="方正小标宋简体" w:hAnsi="方正小标宋简体"/>
          <w:sz w:val="44"/>
          <w:shd w:val="clear" w:color="auto" w:fill="FFFFFF"/>
        </w:rPr>
      </w:pPr>
      <w:r>
        <w:rPr>
          <w:rFonts w:ascii="方正小标宋简体" w:eastAsia="方正小标宋简体" w:hAnsi="方正小标宋简体" w:hint="eastAsia"/>
          <w:sz w:val="44"/>
          <w:shd w:val="clear" w:color="auto" w:fill="FFFFFF"/>
        </w:rPr>
        <w:t>双周粮油市场价格监测报告</w:t>
      </w:r>
    </w:p>
    <w:p w:rsidR="00981132" w:rsidRDefault="003D3560">
      <w:pPr>
        <w:pStyle w:val="1"/>
        <w:spacing w:line="375" w:lineRule="atLeast"/>
        <w:jc w:val="center"/>
        <w:rPr>
          <w:rFonts w:eastAsia="仿宋"/>
          <w:sz w:val="32"/>
          <w:shd w:val="clear" w:color="auto" w:fill="FFFFFF"/>
        </w:rPr>
      </w:pPr>
      <w:r>
        <w:rPr>
          <w:rFonts w:ascii="方正楷体简体" w:eastAsia="方正楷体简体" w:hAnsi="方正楷体简体" w:cs="方正楷体简体" w:hint="eastAsia"/>
          <w:sz w:val="32"/>
          <w:shd w:val="clear" w:color="auto" w:fill="FFFFFF"/>
        </w:rPr>
        <w:t>（</w:t>
      </w:r>
      <w:r>
        <w:rPr>
          <w:rFonts w:ascii="方正楷体简体" w:eastAsia="方正楷体简体" w:hAnsi="方正楷体简体" w:cs="方正楷体简体" w:hint="eastAsia"/>
          <w:sz w:val="32"/>
          <w:shd w:val="clear" w:color="auto" w:fill="FFFFFF"/>
        </w:rPr>
        <w:t>4</w:t>
      </w:r>
      <w:r>
        <w:rPr>
          <w:rFonts w:ascii="方正楷体简体" w:eastAsia="方正楷体简体" w:hAnsi="方正楷体简体" w:cs="方正楷体简体" w:hint="eastAsia"/>
          <w:sz w:val="32"/>
          <w:shd w:val="clear" w:color="auto" w:fill="FFFFFF"/>
        </w:rPr>
        <w:t>月</w:t>
      </w:r>
      <w:r>
        <w:rPr>
          <w:rFonts w:ascii="方正楷体简体" w:eastAsia="方正楷体简体" w:hAnsi="方正楷体简体" w:cs="方正楷体简体" w:hint="eastAsia"/>
          <w:sz w:val="32"/>
          <w:shd w:val="clear" w:color="auto" w:fill="FFFFFF"/>
        </w:rPr>
        <w:t>1</w:t>
      </w:r>
      <w:r>
        <w:rPr>
          <w:rFonts w:ascii="方正楷体简体" w:eastAsia="方正楷体简体" w:hAnsi="方正楷体简体" w:cs="方正楷体简体" w:hint="eastAsia"/>
          <w:sz w:val="32"/>
          <w:shd w:val="clear" w:color="auto" w:fill="FFFFFF"/>
        </w:rPr>
        <w:t>日至</w:t>
      </w:r>
      <w:r>
        <w:rPr>
          <w:rFonts w:ascii="方正楷体简体" w:eastAsia="方正楷体简体" w:hAnsi="方正楷体简体" w:cs="方正楷体简体" w:hint="eastAsia"/>
          <w:sz w:val="32"/>
          <w:shd w:val="clear" w:color="auto" w:fill="FFFFFF"/>
        </w:rPr>
        <w:t>15</w:t>
      </w:r>
      <w:r>
        <w:rPr>
          <w:rFonts w:ascii="方正楷体简体" w:eastAsia="方正楷体简体" w:hAnsi="方正楷体简体" w:cs="方正楷体简体" w:hint="eastAsia"/>
          <w:sz w:val="32"/>
          <w:shd w:val="clear" w:color="auto" w:fill="FFFFFF"/>
        </w:rPr>
        <w:t>日）</w:t>
      </w:r>
    </w:p>
    <w:p w:rsidR="00981132" w:rsidRDefault="00981132">
      <w:pPr>
        <w:pStyle w:val="1"/>
        <w:spacing w:line="375" w:lineRule="atLeast"/>
        <w:jc w:val="center"/>
        <w:rPr>
          <w:rFonts w:eastAsia="仿宋"/>
          <w:sz w:val="32"/>
          <w:shd w:val="clear" w:color="auto" w:fill="FFFFFF"/>
        </w:rPr>
      </w:pPr>
    </w:p>
    <w:p w:rsidR="00981132" w:rsidRDefault="003D3560" w:rsidP="00511C32">
      <w:pPr>
        <w:spacing w:line="560" w:lineRule="exact"/>
        <w:ind w:firstLineChars="200" w:firstLine="640"/>
        <w:rPr>
          <w:rFonts w:ascii="仿宋" w:eastAsia="仿宋" w:hAnsi="仿宋"/>
          <w:sz w:val="32"/>
        </w:rPr>
      </w:pPr>
      <w:r>
        <w:rPr>
          <w:rFonts w:ascii="方正仿宋简体" w:eastAsia="方正仿宋简体" w:hAnsi="方正仿宋简体" w:cs="方正仿宋简体" w:hint="eastAsia"/>
          <w:sz w:val="32"/>
        </w:rPr>
        <w:t>省内方面，省内大米、小麦及食用植物油等价格弱势运行。随着政策性稻谷拍卖增加、储备粮进入集中轮换期，流向市场的稻谷增加，国产米价格下降，</w:t>
      </w:r>
      <w:r>
        <w:rPr>
          <w:rFonts w:ascii="方正仿宋简体" w:eastAsia="方正仿宋简体" w:hAnsi="方正仿宋简体" w:cs="方正仿宋简体" w:hint="eastAsia"/>
          <w:sz w:val="32"/>
        </w:rPr>
        <w:t>部分品种</w:t>
      </w:r>
      <w:r>
        <w:rPr>
          <w:rFonts w:ascii="方正仿宋简体" w:eastAsia="方正仿宋简体" w:hAnsi="方正仿宋简体" w:cs="方正仿宋简体" w:hint="eastAsia"/>
          <w:sz w:val="32"/>
        </w:rPr>
        <w:t>批发价</w:t>
      </w:r>
      <w:r>
        <w:rPr>
          <w:rFonts w:ascii="方正仿宋简体" w:eastAsia="方正仿宋简体" w:hAnsi="方正仿宋简体" w:cs="方正仿宋简体" w:hint="eastAsia"/>
          <w:sz w:val="32"/>
        </w:rPr>
        <w:t>已</w:t>
      </w:r>
      <w:r>
        <w:rPr>
          <w:rFonts w:ascii="方正仿宋简体" w:eastAsia="方正仿宋简体" w:hAnsi="方正仿宋简体" w:cs="方正仿宋简体" w:hint="eastAsia"/>
          <w:sz w:val="32"/>
        </w:rPr>
        <w:t>低于</w:t>
      </w:r>
      <w:r>
        <w:rPr>
          <w:rFonts w:ascii="方正仿宋简体" w:eastAsia="方正仿宋简体" w:hAnsi="方正仿宋简体" w:cs="方正仿宋简体" w:hint="eastAsia"/>
          <w:sz w:val="32"/>
        </w:rPr>
        <w:t>同等品质</w:t>
      </w:r>
      <w:r>
        <w:rPr>
          <w:rFonts w:ascii="方正仿宋简体" w:eastAsia="方正仿宋简体" w:hAnsi="方正仿宋简体" w:cs="方正仿宋简体" w:hint="eastAsia"/>
          <w:sz w:val="32"/>
        </w:rPr>
        <w:t>进口米价格。国内方面，国家加大政策性玉米、小麦、稻谷的投放力度，主要粮食品种价格下行。</w:t>
      </w:r>
      <w:r>
        <w:rPr>
          <w:rFonts w:ascii="Times New Roman" w:eastAsia="方正仿宋简体" w:hAnsi="Times New Roman" w:cs="Times New Roman" w:hint="eastAsia"/>
          <w:sz w:val="32"/>
        </w:rPr>
        <w:t>4</w:t>
      </w:r>
      <w:r>
        <w:rPr>
          <w:rFonts w:ascii="方正仿宋简体" w:eastAsia="方正仿宋简体" w:hAnsi="方正仿宋简体" w:cs="方正仿宋简体" w:hint="eastAsia"/>
          <w:sz w:val="32"/>
        </w:rPr>
        <w:t>月</w:t>
      </w:r>
      <w:r>
        <w:rPr>
          <w:rFonts w:ascii="Times New Roman" w:eastAsia="方正仿宋简体" w:hAnsi="Times New Roman" w:cs="Times New Roman" w:hint="eastAsia"/>
          <w:sz w:val="32"/>
        </w:rPr>
        <w:t>12</w:t>
      </w:r>
      <w:r>
        <w:rPr>
          <w:rFonts w:ascii="方正仿宋简体" w:eastAsia="方正仿宋简体" w:hAnsi="方正仿宋简体" w:cs="方正仿宋简体" w:hint="eastAsia"/>
          <w:sz w:val="32"/>
        </w:rPr>
        <w:t>日国家启动</w:t>
      </w:r>
      <w:r>
        <w:rPr>
          <w:rFonts w:ascii="方正仿宋简体" w:eastAsia="方正仿宋简体" w:hAnsi="方正仿宋简体" w:cs="方正仿宋简体" w:hint="eastAsia"/>
          <w:sz w:val="32"/>
        </w:rPr>
        <w:t>今</w:t>
      </w:r>
      <w:r>
        <w:rPr>
          <w:rFonts w:ascii="方正仿宋简体" w:eastAsia="方正仿宋简体" w:hAnsi="方正仿宋简体" w:cs="方正仿宋简体" w:hint="eastAsia"/>
          <w:sz w:val="32"/>
        </w:rPr>
        <w:t>年首次临储玉米竞价销售，由于拍卖底价较低，最终成交率达</w:t>
      </w:r>
      <w:r>
        <w:rPr>
          <w:rFonts w:ascii="Times New Roman" w:eastAsia="方正仿宋简体" w:hAnsi="Times New Roman" w:cs="Times New Roman" w:hint="eastAsia"/>
          <w:sz w:val="32"/>
        </w:rPr>
        <w:t>90%</w:t>
      </w:r>
      <w:r>
        <w:rPr>
          <w:rFonts w:ascii="方正仿宋简体" w:eastAsia="方正仿宋简体" w:hAnsi="方正仿宋简体" w:cs="方正仿宋简体" w:hint="eastAsia"/>
          <w:sz w:val="32"/>
        </w:rPr>
        <w:t>以上。国际方面，中美贸易战关于粮食进出口方面的有关措施尚未实施，</w:t>
      </w:r>
      <w:r>
        <w:rPr>
          <w:rFonts w:ascii="方正仿宋简体" w:eastAsia="方正仿宋简体" w:hAnsi="方正仿宋简体" w:cs="方正仿宋简体" w:hint="eastAsia"/>
          <w:sz w:val="32"/>
        </w:rPr>
        <w:t>国</w:t>
      </w:r>
      <w:r>
        <w:rPr>
          <w:rFonts w:ascii="方正仿宋简体" w:eastAsia="方正仿宋简体" w:hAnsi="方正仿宋简体" w:cs="方正仿宋简体" w:hint="eastAsia"/>
          <w:sz w:val="32"/>
        </w:rPr>
        <w:t>际</w:t>
      </w:r>
      <w:r>
        <w:rPr>
          <w:rFonts w:ascii="方正仿宋简体" w:eastAsia="方正仿宋简体" w:hAnsi="方正仿宋简体" w:cs="方正仿宋简体" w:hint="eastAsia"/>
          <w:sz w:val="32"/>
        </w:rPr>
        <w:t>市场主要粮食品种价格运行平稳，本报告期芝加哥期货交易所（</w:t>
      </w:r>
      <w:r>
        <w:rPr>
          <w:rFonts w:ascii="Times New Roman" w:eastAsia="方正仿宋简体" w:hAnsi="Times New Roman" w:cs="Times New Roman" w:hint="eastAsia"/>
          <w:sz w:val="32"/>
        </w:rPr>
        <w:t>CBOT</w:t>
      </w:r>
      <w:r>
        <w:rPr>
          <w:rFonts w:ascii="方正仿宋简体" w:eastAsia="方正仿宋简体" w:hAnsi="方正仿宋简体" w:cs="方正仿宋简体" w:hint="eastAsia"/>
          <w:sz w:val="32"/>
        </w:rPr>
        <w:t>）小麦和糙米有一定幅度上涨外，玉米和大豆表现平淡。</w:t>
      </w:r>
    </w:p>
    <w:p w:rsidR="00981132" w:rsidRDefault="003D3560">
      <w:pPr>
        <w:spacing w:line="560" w:lineRule="exact"/>
        <w:rPr>
          <w:rFonts w:ascii="方正黑体简体" w:eastAsia="方正黑体简体" w:hAnsi="方正黑体简体" w:cs="方正黑体简体"/>
          <w:sz w:val="32"/>
        </w:rPr>
      </w:pPr>
      <w:r>
        <w:rPr>
          <w:rFonts w:eastAsia="仿宋"/>
          <w:sz w:val="32"/>
          <w:shd w:val="clear" w:color="auto" w:fill="FFFFFF"/>
        </w:rPr>
        <w:t xml:space="preserve">    </w:t>
      </w:r>
      <w:r>
        <w:rPr>
          <w:rFonts w:ascii="方正黑体简体" w:eastAsia="方正黑体简体" w:hAnsi="方正黑体简体" w:cs="方正黑体简体" w:hint="eastAsia"/>
          <w:sz w:val="32"/>
        </w:rPr>
        <w:t>一、省内市场主要粮油品种价格变化情况</w:t>
      </w:r>
    </w:p>
    <w:p w:rsidR="00981132" w:rsidRDefault="003D3560">
      <w:pPr>
        <w:spacing w:line="560" w:lineRule="exact"/>
        <w:ind w:firstLineChars="200" w:firstLine="640"/>
        <w:rPr>
          <w:rFonts w:ascii="方正仿宋简体" w:eastAsia="方正仿宋简体" w:hAnsi="方正仿宋简体" w:cs="方正仿宋简体"/>
          <w:sz w:val="32"/>
        </w:rPr>
      </w:pPr>
      <w:r>
        <w:rPr>
          <w:rFonts w:ascii="方正仿宋简体" w:eastAsia="方正仿宋简体" w:hAnsi="方正仿宋简体" w:cs="方正仿宋简体" w:hint="eastAsia"/>
          <w:sz w:val="32"/>
        </w:rPr>
        <w:t>普通晚籼稻收购价</w:t>
      </w:r>
      <w:r>
        <w:rPr>
          <w:rFonts w:ascii="Times New Roman" w:eastAsia="方正仿宋简体" w:hAnsi="Times New Roman" w:cs="Times New Roman" w:hint="eastAsia"/>
          <w:sz w:val="32"/>
        </w:rPr>
        <w:t>3.05</w:t>
      </w:r>
      <w:r>
        <w:rPr>
          <w:rFonts w:ascii="方正仿宋简体" w:eastAsia="方正仿宋简体" w:hAnsi="方正仿宋简体" w:cs="方正仿宋简体" w:hint="eastAsia"/>
          <w:sz w:val="32"/>
        </w:rPr>
        <w:t>元（每公斤，下同），双周环比下降</w:t>
      </w:r>
      <w:r>
        <w:rPr>
          <w:rFonts w:ascii="Times New Roman" w:eastAsia="方正仿宋简体" w:hAnsi="Times New Roman" w:cs="Times New Roman" w:hint="eastAsia"/>
          <w:sz w:val="32"/>
        </w:rPr>
        <w:t>0.65%</w:t>
      </w:r>
      <w:r>
        <w:rPr>
          <w:rFonts w:ascii="方正仿宋简体" w:eastAsia="方正仿宋简体" w:hAnsi="方正仿宋简体" w:cs="方正仿宋简体" w:hint="eastAsia"/>
          <w:sz w:val="32"/>
        </w:rPr>
        <w:t>，同比上涨</w:t>
      </w:r>
      <w:r>
        <w:rPr>
          <w:rFonts w:ascii="Times New Roman" w:eastAsia="方正仿宋简体" w:hAnsi="Times New Roman" w:cs="Times New Roman" w:hint="eastAsia"/>
          <w:sz w:val="32"/>
        </w:rPr>
        <w:t>3.39%</w:t>
      </w:r>
      <w:r>
        <w:rPr>
          <w:rFonts w:ascii="方正仿宋简体" w:eastAsia="方正仿宋简体" w:hAnsi="方正仿宋简体" w:cs="方正仿宋简体" w:hint="eastAsia"/>
          <w:sz w:val="32"/>
        </w:rPr>
        <w:t>；籼大米批发均价</w:t>
      </w:r>
      <w:r>
        <w:rPr>
          <w:rFonts w:ascii="Times New Roman" w:eastAsia="方正仿宋简体" w:hAnsi="Times New Roman" w:cs="Times New Roman" w:hint="eastAsia"/>
          <w:sz w:val="32"/>
        </w:rPr>
        <w:t>5.38</w:t>
      </w:r>
      <w:r>
        <w:rPr>
          <w:rFonts w:ascii="方正仿宋简体" w:eastAsia="方正仿宋简体" w:hAnsi="方正仿宋简体" w:cs="方正仿宋简体" w:hint="eastAsia"/>
          <w:sz w:val="32"/>
        </w:rPr>
        <w:t>元，双周环比下降</w:t>
      </w:r>
      <w:r>
        <w:rPr>
          <w:rFonts w:ascii="Times New Roman" w:eastAsia="方正仿宋简体" w:hAnsi="Times New Roman" w:cs="Times New Roman" w:hint="eastAsia"/>
          <w:sz w:val="32"/>
        </w:rPr>
        <w:t>3.18%</w:t>
      </w:r>
      <w:r>
        <w:rPr>
          <w:rFonts w:ascii="方正仿宋简体" w:eastAsia="方正仿宋简体" w:hAnsi="方正仿宋简体" w:cs="方正仿宋简体" w:hint="eastAsia"/>
          <w:sz w:val="32"/>
        </w:rPr>
        <w:t>，同比下降</w:t>
      </w:r>
      <w:r>
        <w:rPr>
          <w:rFonts w:ascii="Times New Roman" w:eastAsia="方正仿宋简体" w:hAnsi="Times New Roman" w:cs="Times New Roman" w:hint="eastAsia"/>
          <w:sz w:val="32"/>
        </w:rPr>
        <w:t>2.98%</w:t>
      </w:r>
      <w:r>
        <w:rPr>
          <w:rFonts w:ascii="方正仿宋简体" w:eastAsia="方正仿宋简体" w:hAnsi="方正仿宋简体" w:cs="方正仿宋简体" w:hint="eastAsia"/>
          <w:sz w:val="32"/>
        </w:rPr>
        <w:t>，其中：东莞樟木头粮食批发市场籼大米均价</w:t>
      </w:r>
      <w:r>
        <w:rPr>
          <w:rFonts w:ascii="Times New Roman" w:eastAsia="方正仿宋简体" w:hAnsi="Times New Roman" w:cs="Times New Roman" w:hint="eastAsia"/>
          <w:sz w:val="32"/>
        </w:rPr>
        <w:t>4.98</w:t>
      </w:r>
      <w:r>
        <w:rPr>
          <w:rFonts w:ascii="方正仿宋简体" w:eastAsia="方正仿宋简体" w:hAnsi="方正仿宋简体" w:cs="方正仿宋简体" w:hint="eastAsia"/>
          <w:sz w:val="32"/>
        </w:rPr>
        <w:t>元，双周环比下降</w:t>
      </w:r>
      <w:r>
        <w:rPr>
          <w:rFonts w:ascii="Times New Roman" w:eastAsia="方正仿宋简体" w:hAnsi="Times New Roman" w:cs="Times New Roman" w:hint="eastAsia"/>
          <w:sz w:val="32"/>
        </w:rPr>
        <w:t>0.4%</w:t>
      </w:r>
      <w:r>
        <w:rPr>
          <w:rFonts w:ascii="方正仿宋简体" w:eastAsia="方正仿宋简体" w:hAnsi="方正仿宋简体" w:cs="方正仿宋简体" w:hint="eastAsia"/>
          <w:sz w:val="32"/>
        </w:rPr>
        <w:t>，同比下降</w:t>
      </w:r>
      <w:r>
        <w:rPr>
          <w:rFonts w:ascii="Times New Roman" w:eastAsia="方正仿宋简体" w:hAnsi="Times New Roman" w:cs="Times New Roman" w:hint="eastAsia"/>
          <w:sz w:val="32"/>
        </w:rPr>
        <w:t>1.97%</w:t>
      </w:r>
      <w:r>
        <w:rPr>
          <w:rFonts w:ascii="方正仿宋简体" w:eastAsia="方正仿宋简体" w:hAnsi="方正仿宋简体" w:cs="方正仿宋简体" w:hint="eastAsia"/>
          <w:sz w:val="32"/>
        </w:rPr>
        <w:t>；籼大米零售均价</w:t>
      </w:r>
      <w:r>
        <w:rPr>
          <w:rFonts w:ascii="Times New Roman" w:eastAsia="方正仿宋简体" w:hAnsi="Times New Roman" w:cs="Times New Roman" w:hint="eastAsia"/>
          <w:sz w:val="32"/>
        </w:rPr>
        <w:t>6.23</w:t>
      </w:r>
      <w:r>
        <w:rPr>
          <w:rFonts w:ascii="方正仿宋简体" w:eastAsia="方正仿宋简体" w:hAnsi="方正仿宋简体" w:cs="方正仿宋简体" w:hint="eastAsia"/>
          <w:sz w:val="32"/>
        </w:rPr>
        <w:t>元，双周环比下降</w:t>
      </w:r>
      <w:r>
        <w:rPr>
          <w:rFonts w:ascii="Times New Roman" w:eastAsia="方正仿宋简体" w:hAnsi="Times New Roman" w:cs="Times New Roman" w:hint="eastAsia"/>
          <w:sz w:val="32"/>
        </w:rPr>
        <w:t>1.58%</w:t>
      </w:r>
      <w:r>
        <w:rPr>
          <w:rFonts w:ascii="方正仿宋简体" w:eastAsia="方正仿宋简体" w:hAnsi="方正仿宋简体" w:cs="方正仿宋简体" w:hint="eastAsia"/>
          <w:sz w:val="32"/>
        </w:rPr>
        <w:t>，同比上涨</w:t>
      </w:r>
      <w:r>
        <w:rPr>
          <w:rFonts w:ascii="Times New Roman" w:eastAsia="方正仿宋简体" w:hAnsi="Times New Roman" w:cs="Times New Roman" w:hint="eastAsia"/>
          <w:sz w:val="32"/>
        </w:rPr>
        <w:t>0.05%</w:t>
      </w:r>
      <w:r>
        <w:rPr>
          <w:rFonts w:ascii="方正仿宋简体" w:eastAsia="方正仿宋简体" w:hAnsi="方正仿宋简体" w:cs="方正仿宋简体" w:hint="eastAsia"/>
          <w:sz w:val="32"/>
        </w:rPr>
        <w:t>；泰国香米零售价</w:t>
      </w:r>
      <w:r>
        <w:rPr>
          <w:rFonts w:ascii="Times New Roman" w:eastAsia="方正仿宋简体" w:hAnsi="Times New Roman" w:cs="Times New Roman" w:hint="eastAsia"/>
          <w:sz w:val="32"/>
        </w:rPr>
        <w:t>11.78</w:t>
      </w:r>
      <w:r>
        <w:rPr>
          <w:rFonts w:ascii="方正仿宋简体" w:eastAsia="方正仿宋简体" w:hAnsi="方正仿宋简体" w:cs="方正仿宋简体" w:hint="eastAsia"/>
          <w:sz w:val="32"/>
        </w:rPr>
        <w:t>元，双周环比下降</w:t>
      </w:r>
      <w:r>
        <w:rPr>
          <w:rFonts w:ascii="Times New Roman" w:eastAsia="方正仿宋简体" w:hAnsi="Times New Roman" w:cs="Times New Roman" w:hint="eastAsia"/>
          <w:sz w:val="32"/>
        </w:rPr>
        <w:t>1.83%</w:t>
      </w:r>
      <w:r>
        <w:rPr>
          <w:rFonts w:ascii="方正仿宋简体" w:eastAsia="方正仿宋简体" w:hAnsi="方正仿宋简体" w:cs="方正仿宋简体" w:hint="eastAsia"/>
          <w:sz w:val="32"/>
        </w:rPr>
        <w:t>，同比下降</w:t>
      </w:r>
      <w:r>
        <w:rPr>
          <w:rFonts w:ascii="Times New Roman" w:eastAsia="方正仿宋简体" w:hAnsi="Times New Roman" w:cs="Times New Roman" w:hint="eastAsia"/>
          <w:sz w:val="32"/>
        </w:rPr>
        <w:t>4.85%</w:t>
      </w:r>
      <w:r>
        <w:rPr>
          <w:rFonts w:ascii="方正仿宋简体" w:eastAsia="方正仿宋简体" w:hAnsi="方正仿宋简体" w:cs="方正仿宋简体" w:hint="eastAsia"/>
          <w:sz w:val="32"/>
        </w:rPr>
        <w:t>。</w:t>
      </w:r>
    </w:p>
    <w:p w:rsidR="00981132" w:rsidRDefault="003D3560">
      <w:pPr>
        <w:spacing w:line="560" w:lineRule="exact"/>
        <w:ind w:firstLineChars="200" w:firstLine="640"/>
        <w:rPr>
          <w:rFonts w:ascii="方正仿宋简体" w:eastAsia="方正仿宋简体" w:hAnsi="方正仿宋简体" w:cs="方正仿宋简体"/>
          <w:sz w:val="32"/>
        </w:rPr>
      </w:pPr>
      <w:r>
        <w:rPr>
          <w:rFonts w:ascii="方正仿宋简体" w:eastAsia="方正仿宋简体" w:hAnsi="方正仿宋简体" w:cs="方正仿宋简体" w:hint="eastAsia"/>
          <w:sz w:val="32"/>
        </w:rPr>
        <w:t>小麦批发价</w:t>
      </w:r>
      <w:r>
        <w:rPr>
          <w:rFonts w:ascii="Times New Roman" w:eastAsia="方正仿宋简体" w:hAnsi="Times New Roman" w:cs="Times New Roman" w:hint="eastAsia"/>
          <w:sz w:val="32"/>
        </w:rPr>
        <w:t>2.68</w:t>
      </w:r>
      <w:r>
        <w:rPr>
          <w:rFonts w:ascii="方正仿宋简体" w:eastAsia="方正仿宋简体" w:hAnsi="方正仿宋简体" w:cs="方正仿宋简体" w:hint="eastAsia"/>
          <w:sz w:val="32"/>
        </w:rPr>
        <w:t>元，双周环比下降</w:t>
      </w:r>
      <w:r>
        <w:rPr>
          <w:rFonts w:ascii="Times New Roman" w:eastAsia="方正仿宋简体" w:hAnsi="Times New Roman" w:cs="Times New Roman" w:hint="eastAsia"/>
          <w:sz w:val="32"/>
        </w:rPr>
        <w:t>0.74%</w:t>
      </w:r>
      <w:r>
        <w:rPr>
          <w:rFonts w:ascii="方正仿宋简体" w:eastAsia="方正仿宋简体" w:hAnsi="方正仿宋简体" w:cs="方正仿宋简体" w:hint="eastAsia"/>
          <w:sz w:val="32"/>
        </w:rPr>
        <w:t>，同比下降</w:t>
      </w:r>
      <w:r>
        <w:rPr>
          <w:rFonts w:ascii="Times New Roman" w:eastAsia="方正仿宋简体" w:hAnsi="Times New Roman" w:cs="Times New Roman" w:hint="eastAsia"/>
          <w:sz w:val="32"/>
        </w:rPr>
        <w:t>2.9%</w:t>
      </w:r>
      <w:r>
        <w:rPr>
          <w:rFonts w:ascii="方正仿宋简体" w:eastAsia="方正仿宋简体" w:hAnsi="方正仿宋简体" w:cs="方正仿宋简体" w:hint="eastAsia"/>
          <w:sz w:val="32"/>
        </w:rPr>
        <w:t>；</w:t>
      </w:r>
      <w:r>
        <w:rPr>
          <w:rFonts w:ascii="方正仿宋简体" w:eastAsia="方正仿宋简体" w:hAnsi="方正仿宋简体" w:cs="方正仿宋简体" w:hint="eastAsia"/>
          <w:sz w:val="32"/>
        </w:rPr>
        <w:lastRenderedPageBreak/>
        <w:t>小麦粉批发价</w:t>
      </w:r>
      <w:r>
        <w:rPr>
          <w:rFonts w:ascii="Times New Roman" w:eastAsia="方正仿宋简体" w:hAnsi="Times New Roman" w:cs="Times New Roman" w:hint="eastAsia"/>
          <w:sz w:val="32"/>
        </w:rPr>
        <w:t>4.12</w:t>
      </w:r>
      <w:r>
        <w:rPr>
          <w:rFonts w:ascii="方正仿宋简体" w:eastAsia="方正仿宋简体" w:hAnsi="方正仿宋简体" w:cs="方正仿宋简体" w:hint="eastAsia"/>
          <w:sz w:val="32"/>
        </w:rPr>
        <w:t>元，双周环比下降</w:t>
      </w:r>
      <w:r>
        <w:rPr>
          <w:rFonts w:ascii="Times New Roman" w:eastAsia="方正仿宋简体" w:hAnsi="Times New Roman" w:cs="Times New Roman" w:hint="eastAsia"/>
          <w:sz w:val="32"/>
        </w:rPr>
        <w:t>2.6%</w:t>
      </w:r>
      <w:r>
        <w:rPr>
          <w:rFonts w:ascii="方正仿宋简体" w:eastAsia="方正仿宋简体" w:hAnsi="方正仿宋简体" w:cs="方正仿宋简体" w:hint="eastAsia"/>
          <w:sz w:val="32"/>
        </w:rPr>
        <w:t>，同比下降</w:t>
      </w:r>
      <w:r>
        <w:rPr>
          <w:rFonts w:ascii="Times New Roman" w:eastAsia="方正仿宋简体" w:hAnsi="Times New Roman" w:cs="Times New Roman" w:hint="eastAsia"/>
          <w:sz w:val="32"/>
        </w:rPr>
        <w:t>1.2%</w:t>
      </w:r>
      <w:r>
        <w:rPr>
          <w:rFonts w:ascii="方正仿宋简体" w:eastAsia="方正仿宋简体" w:hAnsi="方正仿宋简体" w:cs="方正仿宋简体" w:hint="eastAsia"/>
          <w:sz w:val="32"/>
        </w:rPr>
        <w:t>；小麦粉零售价</w:t>
      </w:r>
      <w:r>
        <w:rPr>
          <w:rFonts w:ascii="Times New Roman" w:eastAsia="方正仿宋简体" w:hAnsi="Times New Roman" w:cs="Times New Roman" w:hint="eastAsia"/>
          <w:sz w:val="32"/>
        </w:rPr>
        <w:t>6.73</w:t>
      </w:r>
      <w:r>
        <w:rPr>
          <w:rFonts w:ascii="方正仿宋简体" w:eastAsia="方正仿宋简体" w:hAnsi="方正仿宋简体" w:cs="方正仿宋简体" w:hint="eastAsia"/>
          <w:sz w:val="32"/>
        </w:rPr>
        <w:t>元，双周环比下降</w:t>
      </w:r>
      <w:r>
        <w:rPr>
          <w:rFonts w:ascii="Times New Roman" w:eastAsia="方正仿宋简体" w:hAnsi="Times New Roman" w:cs="Times New Roman" w:hint="eastAsia"/>
          <w:sz w:val="32"/>
        </w:rPr>
        <w:t>0.44%</w:t>
      </w:r>
      <w:r>
        <w:rPr>
          <w:rFonts w:ascii="方正仿宋简体" w:eastAsia="方正仿宋简体" w:hAnsi="方正仿宋简体" w:cs="方正仿宋简体" w:hint="eastAsia"/>
          <w:sz w:val="32"/>
        </w:rPr>
        <w:t>，同比上涨</w:t>
      </w:r>
      <w:r>
        <w:rPr>
          <w:rFonts w:ascii="Times New Roman" w:eastAsia="方正仿宋简体" w:hAnsi="Times New Roman" w:cs="Times New Roman" w:hint="eastAsia"/>
          <w:sz w:val="32"/>
        </w:rPr>
        <w:t>10.33%</w:t>
      </w:r>
      <w:r>
        <w:rPr>
          <w:rFonts w:ascii="方正仿宋简体" w:eastAsia="方正仿宋简体" w:hAnsi="方正仿宋简体" w:cs="方正仿宋简体" w:hint="eastAsia"/>
          <w:sz w:val="32"/>
        </w:rPr>
        <w:t>。</w:t>
      </w:r>
    </w:p>
    <w:p w:rsidR="00981132" w:rsidRDefault="003D3560">
      <w:pPr>
        <w:spacing w:line="560" w:lineRule="exact"/>
        <w:ind w:firstLineChars="200" w:firstLine="640"/>
        <w:rPr>
          <w:rFonts w:ascii="Times New Roman" w:eastAsia="仿宋" w:hAnsi="Times New Roman" w:cs="Times New Roman"/>
          <w:sz w:val="32"/>
        </w:rPr>
      </w:pPr>
      <w:r>
        <w:rPr>
          <w:rFonts w:ascii="方正仿宋简体" w:eastAsia="方正仿宋简体" w:hAnsi="方正仿宋简体" w:cs="方正仿宋简体" w:hint="eastAsia"/>
          <w:noProof/>
          <w:sz w:val="32"/>
        </w:rPr>
        <w:drawing>
          <wp:anchor distT="0" distB="0" distL="114300" distR="114300" simplePos="0" relativeHeight="251658240" behindDoc="0" locked="0" layoutInCell="1" allowOverlap="1">
            <wp:simplePos x="0" y="0"/>
            <wp:positionH relativeFrom="column">
              <wp:posOffset>161925</wp:posOffset>
            </wp:positionH>
            <wp:positionV relativeFrom="paragraph">
              <wp:posOffset>467360</wp:posOffset>
            </wp:positionV>
            <wp:extent cx="5270500" cy="2797175"/>
            <wp:effectExtent l="0" t="0" r="6350" b="3175"/>
            <wp:wrapSquare wrapText="bothSides"/>
            <wp:docPr id="2" name="图片 9" descr="15239266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9" descr="1523926637(1)"/>
                    <pic:cNvPicPr>
                      <a:picLocks noChangeAspect="1"/>
                    </pic:cNvPicPr>
                  </pic:nvPicPr>
                  <pic:blipFill>
                    <a:blip r:embed="rId7"/>
                    <a:stretch>
                      <a:fillRect/>
                    </a:stretch>
                  </pic:blipFill>
                  <pic:spPr>
                    <a:xfrm>
                      <a:off x="0" y="0"/>
                      <a:ext cx="5270500" cy="2797175"/>
                    </a:xfrm>
                    <a:prstGeom prst="rect">
                      <a:avLst/>
                    </a:prstGeom>
                    <a:noFill/>
                    <a:ln w="9525">
                      <a:noFill/>
                    </a:ln>
                  </pic:spPr>
                </pic:pic>
              </a:graphicData>
            </a:graphic>
          </wp:anchor>
        </w:drawing>
      </w:r>
      <w:r>
        <w:rPr>
          <w:rFonts w:ascii="方正仿宋简体" w:eastAsia="方正仿宋简体" w:hAnsi="方正仿宋简体" w:cs="方正仿宋简体" w:hint="eastAsia"/>
          <w:sz w:val="32"/>
        </w:rPr>
        <w:t>玉米批发价</w:t>
      </w:r>
      <w:r>
        <w:rPr>
          <w:rFonts w:ascii="Times New Roman" w:eastAsia="方正仿宋简体" w:hAnsi="Times New Roman" w:cs="Times New Roman" w:hint="eastAsia"/>
          <w:sz w:val="32"/>
        </w:rPr>
        <w:t>1.98</w:t>
      </w:r>
      <w:r>
        <w:rPr>
          <w:rFonts w:ascii="方正仿宋简体" w:eastAsia="方正仿宋简体" w:hAnsi="方正仿宋简体" w:cs="方正仿宋简体" w:hint="eastAsia"/>
          <w:sz w:val="32"/>
        </w:rPr>
        <w:t>元，双周环比下降</w:t>
      </w:r>
      <w:r>
        <w:rPr>
          <w:rFonts w:ascii="Times New Roman" w:eastAsia="方正仿宋简体" w:hAnsi="Times New Roman" w:cs="Times New Roman" w:hint="eastAsia"/>
          <w:sz w:val="32"/>
        </w:rPr>
        <w:t>0.6%</w:t>
      </w:r>
      <w:r>
        <w:rPr>
          <w:rFonts w:ascii="方正仿宋简体" w:eastAsia="方正仿宋简体" w:hAnsi="方正仿宋简体" w:cs="方正仿宋简体" w:hint="eastAsia"/>
          <w:sz w:val="32"/>
        </w:rPr>
        <w:t>，同比上涨</w:t>
      </w:r>
      <w:r>
        <w:rPr>
          <w:rFonts w:ascii="Times New Roman" w:eastAsia="方正仿宋简体" w:hAnsi="Times New Roman" w:cs="Times New Roman" w:hint="eastAsia"/>
          <w:sz w:val="32"/>
        </w:rPr>
        <w:t>15.69%</w:t>
      </w:r>
      <w:r>
        <w:rPr>
          <w:rFonts w:ascii="方正仿宋简体" w:eastAsia="方正仿宋简体" w:hAnsi="方正仿宋简体" w:cs="方正仿宋简体" w:hint="eastAsia"/>
          <w:sz w:val="32"/>
        </w:rPr>
        <w:t>。</w:t>
      </w:r>
    </w:p>
    <w:p w:rsidR="00981132" w:rsidRDefault="003D3560">
      <w:pPr>
        <w:spacing w:line="560" w:lineRule="exact"/>
        <w:ind w:firstLineChars="200" w:firstLine="640"/>
        <w:rPr>
          <w:rFonts w:ascii="Times New Roman" w:eastAsia="仿宋" w:hAnsi="Times New Roman" w:cs="Times New Roman"/>
          <w:sz w:val="32"/>
        </w:rPr>
      </w:pPr>
      <w:r>
        <w:rPr>
          <w:rFonts w:ascii="方正仿宋简体" w:eastAsia="方正仿宋简体" w:hAnsi="方正仿宋简体" w:cs="方正仿宋简体" w:hint="eastAsia"/>
          <w:sz w:val="32"/>
        </w:rPr>
        <w:t>食用植物油批发均价</w:t>
      </w:r>
      <w:r>
        <w:rPr>
          <w:rFonts w:ascii="Times New Roman" w:eastAsia="方正仿宋简体" w:hAnsi="Times New Roman" w:cs="Times New Roman"/>
          <w:sz w:val="32"/>
        </w:rPr>
        <w:t>17.8</w:t>
      </w:r>
      <w:r>
        <w:rPr>
          <w:rFonts w:ascii="方正仿宋简体" w:eastAsia="方正仿宋简体" w:hAnsi="方正仿宋简体" w:cs="方正仿宋简体" w:hint="eastAsia"/>
          <w:sz w:val="32"/>
        </w:rPr>
        <w:t>元（每升，下同），双周环比下降</w:t>
      </w:r>
      <w:r>
        <w:rPr>
          <w:rFonts w:ascii="Times New Roman" w:eastAsia="方正仿宋简体" w:hAnsi="Times New Roman" w:cs="Times New Roman" w:hint="eastAsia"/>
          <w:sz w:val="32"/>
        </w:rPr>
        <w:t>2.47%</w:t>
      </w:r>
      <w:r>
        <w:rPr>
          <w:rFonts w:ascii="方正仿宋简体" w:eastAsia="方正仿宋简体" w:hAnsi="方正仿宋简体" w:cs="方正仿宋简体" w:hint="eastAsia"/>
          <w:sz w:val="32"/>
        </w:rPr>
        <w:t>，同比下降</w:t>
      </w:r>
      <w:r>
        <w:rPr>
          <w:rFonts w:ascii="Times New Roman" w:eastAsia="方正仿宋简体" w:hAnsi="Times New Roman" w:cs="Times New Roman" w:hint="eastAsia"/>
          <w:sz w:val="32"/>
        </w:rPr>
        <w:t>2.25%</w:t>
      </w:r>
      <w:r>
        <w:rPr>
          <w:rFonts w:ascii="方正仿宋简体" w:eastAsia="方正仿宋简体" w:hAnsi="方正仿宋简体" w:cs="方正仿宋简体" w:hint="eastAsia"/>
          <w:sz w:val="32"/>
        </w:rPr>
        <w:t>。其中，花生油批发均价</w:t>
      </w:r>
      <w:r>
        <w:rPr>
          <w:rFonts w:ascii="Times New Roman" w:eastAsia="方正仿宋简体" w:hAnsi="Times New Roman" w:cs="Times New Roman" w:hint="eastAsia"/>
          <w:sz w:val="32"/>
        </w:rPr>
        <w:t>21.5</w:t>
      </w:r>
      <w:r>
        <w:rPr>
          <w:rFonts w:ascii="方正仿宋简体" w:eastAsia="方正仿宋简体" w:hAnsi="方正仿宋简体" w:cs="方正仿宋简体" w:hint="eastAsia"/>
          <w:sz w:val="32"/>
        </w:rPr>
        <w:t>元，双周环比下降</w:t>
      </w:r>
      <w:r>
        <w:rPr>
          <w:rFonts w:ascii="Times New Roman" w:eastAsia="方正仿宋简体" w:hAnsi="Times New Roman" w:cs="Times New Roman" w:hint="eastAsia"/>
          <w:sz w:val="32"/>
        </w:rPr>
        <w:t>2.32%</w:t>
      </w:r>
      <w:r>
        <w:rPr>
          <w:rFonts w:ascii="方正仿宋简体" w:eastAsia="方正仿宋简体" w:hAnsi="方正仿宋简体" w:cs="方正仿宋简体" w:hint="eastAsia"/>
          <w:sz w:val="32"/>
        </w:rPr>
        <w:t>，同比下降</w:t>
      </w:r>
      <w:r>
        <w:rPr>
          <w:rFonts w:ascii="Times New Roman" w:eastAsia="方正仿宋简体" w:hAnsi="Times New Roman" w:cs="Times New Roman" w:hint="eastAsia"/>
          <w:sz w:val="32"/>
        </w:rPr>
        <w:t>2.03%</w:t>
      </w:r>
      <w:r>
        <w:rPr>
          <w:rFonts w:ascii="方正仿宋简体" w:eastAsia="方正仿宋简体" w:hAnsi="方正仿宋简体" w:cs="方正仿宋简体" w:hint="eastAsia"/>
          <w:sz w:val="32"/>
        </w:rPr>
        <w:t>。食用植物油零售均价</w:t>
      </w:r>
      <w:r>
        <w:rPr>
          <w:rFonts w:ascii="Times New Roman" w:eastAsia="方正仿宋简体" w:hAnsi="Times New Roman" w:cs="Times New Roman" w:hint="eastAsia"/>
          <w:sz w:val="32"/>
        </w:rPr>
        <w:t>20.5</w:t>
      </w:r>
      <w:r>
        <w:rPr>
          <w:rFonts w:ascii="方正仿宋简体" w:eastAsia="方正仿宋简体" w:hAnsi="方正仿宋简体" w:cs="方正仿宋简体" w:hint="eastAsia"/>
          <w:sz w:val="32"/>
        </w:rPr>
        <w:t>元，双周环比下降</w:t>
      </w:r>
      <w:r>
        <w:rPr>
          <w:rFonts w:ascii="Times New Roman" w:eastAsia="方正仿宋简体" w:hAnsi="Times New Roman" w:cs="Times New Roman" w:hint="eastAsia"/>
          <w:sz w:val="32"/>
        </w:rPr>
        <w:t>2.61%</w:t>
      </w:r>
      <w:r>
        <w:rPr>
          <w:rFonts w:ascii="方正仿宋简体" w:eastAsia="方正仿宋简体" w:hAnsi="方正仿宋简体" w:cs="方正仿宋简体" w:hint="eastAsia"/>
          <w:sz w:val="32"/>
        </w:rPr>
        <w:t>，同比上涨</w:t>
      </w:r>
      <w:r>
        <w:rPr>
          <w:rFonts w:ascii="Times New Roman" w:eastAsia="方正仿宋简体" w:hAnsi="Times New Roman" w:cs="Times New Roman" w:hint="eastAsia"/>
          <w:sz w:val="32"/>
        </w:rPr>
        <w:t>0.23%</w:t>
      </w:r>
      <w:r>
        <w:rPr>
          <w:rFonts w:ascii="方正仿宋简体" w:eastAsia="方正仿宋简体" w:hAnsi="方正仿宋简体" w:cs="方正仿宋简体" w:hint="eastAsia"/>
          <w:sz w:val="32"/>
        </w:rPr>
        <w:t>。其中，花生油零售均价</w:t>
      </w:r>
      <w:r>
        <w:rPr>
          <w:rFonts w:ascii="Times New Roman" w:eastAsia="方正仿宋简体" w:hAnsi="Times New Roman" w:cs="Times New Roman" w:hint="eastAsia"/>
          <w:sz w:val="32"/>
        </w:rPr>
        <w:t>24.5</w:t>
      </w:r>
      <w:r>
        <w:rPr>
          <w:rFonts w:ascii="方正仿宋简体" w:eastAsia="方正仿宋简体" w:hAnsi="方正仿宋简体" w:cs="方正仿宋简体" w:hint="eastAsia"/>
          <w:sz w:val="32"/>
        </w:rPr>
        <w:t>元，双周环比下降</w:t>
      </w:r>
      <w:r>
        <w:rPr>
          <w:rFonts w:ascii="Times New Roman" w:eastAsia="方正仿宋简体" w:hAnsi="Times New Roman" w:cs="Times New Roman" w:hint="eastAsia"/>
          <w:sz w:val="32"/>
        </w:rPr>
        <w:t>0.81%</w:t>
      </w:r>
      <w:r>
        <w:rPr>
          <w:rFonts w:ascii="方正仿宋简体" w:eastAsia="方正仿宋简体" w:hAnsi="方正仿宋简体" w:cs="方正仿宋简体" w:hint="eastAsia"/>
          <w:sz w:val="32"/>
        </w:rPr>
        <w:t>，同比下降</w:t>
      </w:r>
      <w:r>
        <w:rPr>
          <w:rFonts w:ascii="Times New Roman" w:eastAsia="方正仿宋简体" w:hAnsi="Times New Roman" w:cs="Times New Roman" w:hint="eastAsia"/>
          <w:sz w:val="32"/>
        </w:rPr>
        <w:t>0.33%</w:t>
      </w:r>
      <w:r>
        <w:rPr>
          <w:rFonts w:ascii="方正仿宋简体" w:eastAsia="方正仿宋简体" w:hAnsi="方正仿宋简体" w:cs="方正仿宋简体" w:hint="eastAsia"/>
          <w:sz w:val="32"/>
        </w:rPr>
        <w:t>。</w:t>
      </w:r>
    </w:p>
    <w:p w:rsidR="00981132" w:rsidRDefault="003D3560">
      <w:pPr>
        <w:spacing w:line="200" w:lineRule="exact"/>
        <w:rPr>
          <w:rFonts w:ascii="黑体" w:eastAsia="黑体" w:hAnsi="黑体"/>
          <w:sz w:val="32"/>
          <w:shd w:val="clear" w:color="auto" w:fill="FFFFFF"/>
        </w:rPr>
      </w:pPr>
      <w:r>
        <w:rPr>
          <w:rFonts w:ascii="方正黑体简体" w:eastAsia="方正黑体简体" w:hAnsi="方正黑体简体" w:cs="方正黑体简体" w:hint="eastAsia"/>
          <w:noProof/>
          <w:sz w:val="32"/>
        </w:rPr>
        <w:drawing>
          <wp:anchor distT="0" distB="0" distL="114300" distR="114300" simplePos="0" relativeHeight="251659264" behindDoc="0" locked="0" layoutInCell="1" allowOverlap="1">
            <wp:simplePos x="0" y="0"/>
            <wp:positionH relativeFrom="column">
              <wp:posOffset>225425</wp:posOffset>
            </wp:positionH>
            <wp:positionV relativeFrom="paragraph">
              <wp:posOffset>178435</wp:posOffset>
            </wp:positionV>
            <wp:extent cx="5271770" cy="2843530"/>
            <wp:effectExtent l="0" t="0" r="5080" b="13970"/>
            <wp:wrapSquare wrapText="bothSides"/>
            <wp:docPr id="3" name="图片 10" descr="15239278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descr="1523927869(1)"/>
                    <pic:cNvPicPr>
                      <a:picLocks noChangeAspect="1"/>
                    </pic:cNvPicPr>
                  </pic:nvPicPr>
                  <pic:blipFill>
                    <a:blip r:embed="rId8"/>
                    <a:stretch>
                      <a:fillRect/>
                    </a:stretch>
                  </pic:blipFill>
                  <pic:spPr>
                    <a:xfrm>
                      <a:off x="0" y="0"/>
                      <a:ext cx="5271770" cy="2843530"/>
                    </a:xfrm>
                    <a:prstGeom prst="rect">
                      <a:avLst/>
                    </a:prstGeom>
                    <a:noFill/>
                    <a:ln w="9525">
                      <a:noFill/>
                    </a:ln>
                  </pic:spPr>
                </pic:pic>
              </a:graphicData>
            </a:graphic>
          </wp:anchor>
        </w:drawing>
      </w:r>
    </w:p>
    <w:p w:rsidR="00981132" w:rsidRDefault="003D3560">
      <w:pPr>
        <w:spacing w:line="560" w:lineRule="exact"/>
        <w:ind w:firstLineChars="200" w:firstLine="640"/>
        <w:rPr>
          <w:rFonts w:ascii="方正黑体简体" w:eastAsia="方正黑体简体" w:hAnsi="方正黑体简体" w:cs="方正黑体简体"/>
          <w:sz w:val="32"/>
        </w:rPr>
      </w:pPr>
      <w:r>
        <w:rPr>
          <w:rFonts w:ascii="方正黑体简体" w:eastAsia="方正黑体简体" w:hAnsi="方正黑体简体" w:cs="方正黑体简体" w:hint="eastAsia"/>
          <w:sz w:val="32"/>
          <w:shd w:val="clear" w:color="auto" w:fill="FFFFFF"/>
        </w:rPr>
        <w:lastRenderedPageBreak/>
        <w:t>二、国内市场粮油价格变化情况</w:t>
      </w:r>
    </w:p>
    <w:p w:rsidR="00981132" w:rsidRDefault="003D3560">
      <w:pPr>
        <w:spacing w:line="560" w:lineRule="exact"/>
        <w:ind w:firstLineChars="200" w:firstLine="640"/>
        <w:rPr>
          <w:rFonts w:ascii="Times New Roman" w:eastAsia="仿宋" w:hAnsi="Times New Roman" w:cs="Times New Roman"/>
          <w:sz w:val="32"/>
        </w:rPr>
      </w:pPr>
      <w:r>
        <w:rPr>
          <w:rFonts w:ascii="方正仿宋简体" w:eastAsia="方正仿宋简体" w:hAnsi="方正仿宋简体" w:cs="方正仿宋简体" w:hint="eastAsia"/>
          <w:sz w:val="32"/>
        </w:rPr>
        <w:t>据国家粮油信息中心数据，普通晚籼稻批发价双周环比下降</w:t>
      </w:r>
      <w:r>
        <w:rPr>
          <w:rFonts w:ascii="Times New Roman" w:eastAsia="方正仿宋简体" w:hAnsi="Times New Roman" w:cs="Times New Roman"/>
          <w:sz w:val="32"/>
        </w:rPr>
        <w:t>2.41%</w:t>
      </w:r>
      <w:r>
        <w:rPr>
          <w:rFonts w:ascii="方正仿宋简体" w:eastAsia="方正仿宋简体" w:hAnsi="方正仿宋简体" w:cs="方正仿宋简体" w:hint="eastAsia"/>
          <w:sz w:val="32"/>
        </w:rPr>
        <w:t>，同比下降</w:t>
      </w:r>
      <w:r>
        <w:rPr>
          <w:rFonts w:ascii="Times New Roman" w:eastAsia="方正仿宋简体" w:hAnsi="Times New Roman" w:cs="Times New Roman" w:hint="eastAsia"/>
          <w:sz w:val="32"/>
        </w:rPr>
        <w:t>4.75%</w:t>
      </w:r>
      <w:r>
        <w:rPr>
          <w:rFonts w:ascii="方正仿宋简体" w:eastAsia="方正仿宋简体" w:hAnsi="方正仿宋简体" w:cs="方正仿宋简体" w:hint="eastAsia"/>
          <w:sz w:val="32"/>
        </w:rPr>
        <w:t>；籼大米批发价双周环比下降</w:t>
      </w:r>
      <w:r>
        <w:rPr>
          <w:rFonts w:ascii="Times New Roman" w:eastAsia="方正仿宋简体" w:hAnsi="Times New Roman" w:cs="Times New Roman" w:hint="eastAsia"/>
          <w:sz w:val="32"/>
        </w:rPr>
        <w:t>0.18%</w:t>
      </w:r>
      <w:r>
        <w:rPr>
          <w:rFonts w:ascii="方正仿宋简体" w:eastAsia="方正仿宋简体" w:hAnsi="方正仿宋简体" w:cs="方正仿宋简体" w:hint="eastAsia"/>
          <w:sz w:val="32"/>
        </w:rPr>
        <w:t>，同比上涨</w:t>
      </w:r>
      <w:r>
        <w:rPr>
          <w:rFonts w:ascii="Times New Roman" w:eastAsia="方正仿宋简体" w:hAnsi="Times New Roman" w:cs="Times New Roman" w:hint="eastAsia"/>
          <w:sz w:val="32"/>
        </w:rPr>
        <w:t>0.14%</w:t>
      </w:r>
      <w:r>
        <w:rPr>
          <w:rFonts w:ascii="方正仿宋简体" w:eastAsia="方正仿宋简体" w:hAnsi="方正仿宋简体" w:cs="方正仿宋简体" w:hint="eastAsia"/>
          <w:sz w:val="32"/>
        </w:rPr>
        <w:t>；小麦批发价双周环比下降</w:t>
      </w:r>
      <w:r>
        <w:rPr>
          <w:rFonts w:ascii="Times New Roman" w:eastAsia="方正仿宋简体" w:hAnsi="Times New Roman" w:cs="Times New Roman" w:hint="eastAsia"/>
          <w:sz w:val="32"/>
        </w:rPr>
        <w:t>1.94%</w:t>
      </w:r>
      <w:r>
        <w:rPr>
          <w:rFonts w:ascii="方正仿宋简体" w:eastAsia="方正仿宋简体" w:hAnsi="方正仿宋简体" w:cs="方正仿宋简体" w:hint="eastAsia"/>
          <w:sz w:val="32"/>
        </w:rPr>
        <w:t>，同比下降</w:t>
      </w:r>
      <w:r>
        <w:rPr>
          <w:rFonts w:ascii="Times New Roman" w:eastAsia="方正仿宋简体" w:hAnsi="Times New Roman" w:cs="Times New Roman" w:hint="eastAsia"/>
          <w:sz w:val="32"/>
        </w:rPr>
        <w:t>5.41%</w:t>
      </w:r>
      <w:r>
        <w:rPr>
          <w:rFonts w:ascii="方正仿宋简体" w:eastAsia="方正仿宋简体" w:hAnsi="方正仿宋简体" w:cs="方正仿宋简体" w:hint="eastAsia"/>
          <w:sz w:val="32"/>
        </w:rPr>
        <w:t>；玉米批发价双周环比下降</w:t>
      </w:r>
      <w:r>
        <w:rPr>
          <w:rFonts w:ascii="Times New Roman" w:eastAsia="方正仿宋简体" w:hAnsi="Times New Roman" w:cs="Times New Roman" w:hint="eastAsia"/>
          <w:sz w:val="32"/>
        </w:rPr>
        <w:t>5.29%</w:t>
      </w:r>
      <w:r>
        <w:rPr>
          <w:rFonts w:ascii="方正仿宋简体" w:eastAsia="方正仿宋简体" w:hAnsi="方正仿宋简体" w:cs="方正仿宋简体" w:hint="eastAsia"/>
          <w:sz w:val="32"/>
        </w:rPr>
        <w:t>，同比上涨</w:t>
      </w:r>
      <w:r>
        <w:rPr>
          <w:rFonts w:ascii="Times New Roman" w:eastAsia="方正仿宋简体" w:hAnsi="Times New Roman" w:cs="Times New Roman" w:hint="eastAsia"/>
          <w:sz w:val="32"/>
        </w:rPr>
        <w:t>18.03%</w:t>
      </w:r>
      <w:r>
        <w:rPr>
          <w:rFonts w:ascii="方正仿宋简体" w:eastAsia="方正仿宋简体" w:hAnsi="方正仿宋简体" w:cs="方正仿宋简体" w:hint="eastAsia"/>
          <w:sz w:val="32"/>
        </w:rPr>
        <w:t>；大豆油批发价双周环比上涨</w:t>
      </w:r>
      <w:r>
        <w:rPr>
          <w:rFonts w:ascii="Times New Roman" w:eastAsia="方正仿宋简体" w:hAnsi="Times New Roman" w:cs="Times New Roman" w:hint="eastAsia"/>
          <w:sz w:val="32"/>
        </w:rPr>
        <w:t>3.25%</w:t>
      </w:r>
      <w:r>
        <w:rPr>
          <w:rFonts w:ascii="方正仿宋简体" w:eastAsia="方正仿宋简体" w:hAnsi="方正仿宋简体" w:cs="方正仿宋简体" w:hint="eastAsia"/>
          <w:sz w:val="32"/>
        </w:rPr>
        <w:t>，同比下降</w:t>
      </w:r>
      <w:r>
        <w:rPr>
          <w:rFonts w:ascii="Times New Roman" w:eastAsia="方正仿宋简体" w:hAnsi="Times New Roman" w:cs="Times New Roman" w:hint="eastAsia"/>
          <w:sz w:val="32"/>
        </w:rPr>
        <w:t>1.27%</w:t>
      </w:r>
      <w:r>
        <w:rPr>
          <w:rFonts w:ascii="方正仿宋简体" w:eastAsia="方正仿宋简体" w:hAnsi="方正仿宋简体" w:cs="方正仿宋简体" w:hint="eastAsia"/>
          <w:sz w:val="32"/>
        </w:rPr>
        <w:t>；花生油批发价双周环比持平，同比下降</w:t>
      </w:r>
      <w:r>
        <w:rPr>
          <w:rFonts w:ascii="Times New Roman" w:eastAsia="方正仿宋简体" w:hAnsi="Times New Roman" w:cs="Times New Roman" w:hint="eastAsia"/>
          <w:sz w:val="32"/>
        </w:rPr>
        <w:t>13.08%</w:t>
      </w:r>
      <w:r>
        <w:rPr>
          <w:rFonts w:ascii="方正仿宋简体" w:eastAsia="方正仿宋简体" w:hAnsi="方正仿宋简体" w:cs="方正仿宋简体" w:hint="eastAsia"/>
          <w:sz w:val="32"/>
        </w:rPr>
        <w:t>。</w:t>
      </w:r>
    </w:p>
    <w:p w:rsidR="00981132" w:rsidRDefault="003D3560">
      <w:pPr>
        <w:pStyle w:val="1"/>
        <w:spacing w:line="560" w:lineRule="exact"/>
        <w:rPr>
          <w:rFonts w:ascii="方正黑体简体" w:eastAsia="方正黑体简体" w:hAnsi="方正黑体简体" w:cs="方正黑体简体"/>
          <w:sz w:val="32"/>
        </w:rPr>
      </w:pPr>
      <w:r>
        <w:rPr>
          <w:rFonts w:ascii="仿宋" w:eastAsia="仿宋" w:hAnsi="仿宋" w:hint="eastAsia"/>
          <w:sz w:val="32"/>
        </w:rPr>
        <w:t xml:space="preserve">    </w:t>
      </w:r>
      <w:r>
        <w:rPr>
          <w:rFonts w:ascii="方正黑体简体" w:eastAsia="方正黑体简体" w:hAnsi="方正黑体简体" w:cs="方正黑体简体" w:hint="eastAsia"/>
          <w:sz w:val="32"/>
        </w:rPr>
        <w:t>三、国际粮食期货和东南亚大米现货价格情况</w:t>
      </w:r>
    </w:p>
    <w:p w:rsidR="00981132" w:rsidRDefault="003D3560">
      <w:pPr>
        <w:spacing w:line="560" w:lineRule="exact"/>
        <w:ind w:firstLineChars="200" w:firstLine="640"/>
      </w:pPr>
      <w:r>
        <w:rPr>
          <w:rFonts w:ascii="方正仿宋简体" w:eastAsia="方正仿宋简体" w:hAnsi="方正仿宋简体" w:cs="方正仿宋简体" w:hint="eastAsia"/>
          <w:sz w:val="32"/>
        </w:rPr>
        <w:t>双周环比，芝加哥期货交易所（</w:t>
      </w:r>
      <w:r>
        <w:rPr>
          <w:rFonts w:ascii="Times New Roman" w:eastAsia="方正仿宋简体" w:hAnsi="Times New Roman" w:cs="Times New Roman" w:hint="eastAsia"/>
          <w:sz w:val="32"/>
        </w:rPr>
        <w:t>CBOT</w:t>
      </w:r>
      <w:r>
        <w:rPr>
          <w:rFonts w:ascii="方正仿宋简体" w:eastAsia="方正仿宋简体" w:hAnsi="方正仿宋简体" w:cs="方正仿宋简体" w:hint="eastAsia"/>
          <w:sz w:val="32"/>
        </w:rPr>
        <w:t>）玉米价格下降</w:t>
      </w:r>
      <w:r>
        <w:rPr>
          <w:rFonts w:ascii="Times New Roman" w:eastAsia="方正仿宋简体" w:hAnsi="Times New Roman" w:cs="Times New Roman" w:hint="eastAsia"/>
          <w:sz w:val="32"/>
        </w:rPr>
        <w:t>0.36%</w:t>
      </w:r>
      <w:r>
        <w:rPr>
          <w:rFonts w:ascii="方正仿宋简体" w:eastAsia="方正仿宋简体" w:hAnsi="方正仿宋简体" w:cs="方正仿宋简体" w:hint="eastAsia"/>
          <w:sz w:val="32"/>
        </w:rPr>
        <w:t>，小麦、大豆、糙米价格分别上涨</w:t>
      </w:r>
      <w:r>
        <w:rPr>
          <w:rFonts w:ascii="Times New Roman" w:eastAsia="方正仿宋简体" w:hAnsi="Times New Roman" w:cs="Times New Roman" w:hint="eastAsia"/>
          <w:sz w:val="32"/>
        </w:rPr>
        <w:t>4.75%</w:t>
      </w:r>
      <w:r>
        <w:rPr>
          <w:rFonts w:ascii="方正仿宋简体" w:eastAsia="方正仿宋简体" w:hAnsi="方正仿宋简体" w:cs="方正仿宋简体" w:hint="eastAsia"/>
          <w:sz w:val="32"/>
        </w:rPr>
        <w:t>、</w:t>
      </w:r>
      <w:r>
        <w:rPr>
          <w:rFonts w:ascii="Times New Roman" w:eastAsia="方正仿宋简体" w:hAnsi="Times New Roman" w:cs="Times New Roman" w:hint="eastAsia"/>
          <w:sz w:val="32"/>
        </w:rPr>
        <w:t>0.92%</w:t>
      </w:r>
      <w:r>
        <w:rPr>
          <w:rFonts w:ascii="方正仿宋简体" w:eastAsia="方正仿宋简体" w:hAnsi="方正仿宋简体" w:cs="方正仿宋简体" w:hint="eastAsia"/>
          <w:sz w:val="32"/>
        </w:rPr>
        <w:t>、</w:t>
      </w:r>
      <w:r>
        <w:rPr>
          <w:rFonts w:ascii="Times New Roman" w:eastAsia="方正仿宋简体" w:hAnsi="Times New Roman" w:cs="Times New Roman" w:hint="eastAsia"/>
          <w:sz w:val="32"/>
        </w:rPr>
        <w:t>6.11%</w:t>
      </w:r>
      <w:r>
        <w:rPr>
          <w:rFonts w:ascii="方正仿宋简体" w:eastAsia="方正仿宋简体" w:hAnsi="方正仿宋简体" w:cs="方正仿宋简体" w:hint="eastAsia"/>
          <w:sz w:val="32"/>
        </w:rPr>
        <w:t>。泰国和越南大米现货离岸价为</w:t>
      </w:r>
      <w:r>
        <w:rPr>
          <w:rFonts w:ascii="Times New Roman" w:eastAsia="方正仿宋简体" w:hAnsi="Times New Roman" w:cs="Times New Roman" w:hint="eastAsia"/>
          <w:sz w:val="32"/>
        </w:rPr>
        <w:t>427</w:t>
      </w:r>
      <w:r>
        <w:rPr>
          <w:rFonts w:ascii="方正仿宋简体" w:eastAsia="方正仿宋简体" w:hAnsi="方正仿宋简体" w:cs="方正仿宋简体" w:hint="eastAsia"/>
          <w:sz w:val="32"/>
        </w:rPr>
        <w:t>美元</w:t>
      </w:r>
      <w:r>
        <w:rPr>
          <w:rFonts w:ascii="方正仿宋简体" w:eastAsia="方正仿宋简体" w:hAnsi="方正仿宋简体" w:cs="方正仿宋简体" w:hint="eastAsia"/>
          <w:sz w:val="32"/>
        </w:rPr>
        <w:t>/</w:t>
      </w:r>
      <w:r>
        <w:rPr>
          <w:rFonts w:ascii="方正仿宋简体" w:eastAsia="方正仿宋简体" w:hAnsi="方正仿宋简体" w:cs="方正仿宋简体" w:hint="eastAsia"/>
          <w:sz w:val="32"/>
        </w:rPr>
        <w:t>吨、</w:t>
      </w:r>
      <w:r>
        <w:rPr>
          <w:rFonts w:ascii="Times New Roman" w:eastAsia="方正仿宋简体" w:hAnsi="Times New Roman" w:cs="Times New Roman" w:hint="eastAsia"/>
          <w:sz w:val="32"/>
        </w:rPr>
        <w:t>432</w:t>
      </w:r>
      <w:r>
        <w:rPr>
          <w:rFonts w:ascii="方正仿宋简体" w:eastAsia="方正仿宋简体" w:hAnsi="方正仿宋简体" w:cs="方正仿宋简体" w:hint="eastAsia"/>
          <w:sz w:val="32"/>
        </w:rPr>
        <w:t>美元</w:t>
      </w:r>
      <w:r>
        <w:rPr>
          <w:rFonts w:ascii="方正仿宋简体" w:eastAsia="方正仿宋简体" w:hAnsi="方正仿宋简体" w:cs="方正仿宋简体" w:hint="eastAsia"/>
          <w:sz w:val="32"/>
        </w:rPr>
        <w:t>/</w:t>
      </w:r>
      <w:r>
        <w:rPr>
          <w:rFonts w:ascii="方正仿宋简体" w:eastAsia="方正仿宋简体" w:hAnsi="方正仿宋简体" w:cs="方正仿宋简体" w:hint="eastAsia"/>
          <w:sz w:val="32"/>
        </w:rPr>
        <w:t>吨（均为</w:t>
      </w:r>
      <w:r>
        <w:rPr>
          <w:rFonts w:ascii="Times New Roman" w:eastAsia="方正仿宋简体" w:hAnsi="Times New Roman" w:cs="Times New Roman" w:hint="eastAsia"/>
          <w:sz w:val="32"/>
        </w:rPr>
        <w:t>5%</w:t>
      </w:r>
      <w:r>
        <w:rPr>
          <w:rFonts w:ascii="方正仿宋简体" w:eastAsia="方正仿宋简体" w:hAnsi="方正仿宋简体" w:cs="方正仿宋简体" w:hint="eastAsia"/>
          <w:sz w:val="32"/>
        </w:rPr>
        <w:t>破碎率），分别上涨</w:t>
      </w:r>
      <w:r>
        <w:rPr>
          <w:rFonts w:ascii="Times New Roman" w:eastAsia="方正仿宋简体" w:hAnsi="Times New Roman" w:cs="Times New Roman" w:hint="eastAsia"/>
          <w:sz w:val="32"/>
        </w:rPr>
        <w:t>2.55%</w:t>
      </w:r>
      <w:r>
        <w:rPr>
          <w:rFonts w:ascii="方正仿宋简体" w:eastAsia="方正仿宋简体" w:hAnsi="方正仿宋简体" w:cs="方正仿宋简体" w:hint="eastAsia"/>
          <w:sz w:val="32"/>
        </w:rPr>
        <w:t>和</w:t>
      </w:r>
      <w:r>
        <w:rPr>
          <w:rFonts w:ascii="Times New Roman" w:eastAsia="方正仿宋简体" w:hAnsi="Times New Roman" w:cs="Times New Roman" w:hint="eastAsia"/>
          <w:sz w:val="32"/>
        </w:rPr>
        <w:t>2.61%</w:t>
      </w:r>
      <w:r>
        <w:rPr>
          <w:rFonts w:ascii="方正仿宋简体" w:eastAsia="方正仿宋简体" w:hAnsi="方正仿宋简体" w:cs="方正仿宋简体" w:hint="eastAsia"/>
          <w:sz w:val="32"/>
        </w:rPr>
        <w:t>。深圳地区越南大米批发价</w:t>
      </w:r>
      <w:r>
        <w:rPr>
          <w:rFonts w:ascii="Times New Roman" w:eastAsia="方正仿宋简体" w:hAnsi="Times New Roman" w:cs="Times New Roman" w:hint="eastAsia"/>
          <w:sz w:val="32"/>
        </w:rPr>
        <w:t>3.7</w:t>
      </w:r>
      <w:r>
        <w:rPr>
          <w:rFonts w:ascii="方正仿宋简体" w:eastAsia="方正仿宋简体" w:hAnsi="方正仿宋简体" w:cs="方正仿宋简体" w:hint="eastAsia"/>
          <w:sz w:val="32"/>
        </w:rPr>
        <w:t>元，双周环比持平，比同等级国产大米批发价高</w:t>
      </w:r>
      <w:r>
        <w:rPr>
          <w:rFonts w:ascii="Times New Roman" w:eastAsia="方正仿宋简体" w:hAnsi="Times New Roman" w:cs="Times New Roman" w:hint="eastAsia"/>
          <w:sz w:val="32"/>
        </w:rPr>
        <w:t>1.09%</w:t>
      </w:r>
      <w:r>
        <w:rPr>
          <w:rFonts w:ascii="方正仿宋简体" w:eastAsia="方正仿宋简体" w:hAnsi="方正仿宋简体" w:cs="方正仿宋简体" w:hint="eastAsia"/>
          <w:sz w:val="32"/>
        </w:rPr>
        <w:t>，</w:t>
      </w:r>
      <w:r>
        <w:rPr>
          <w:rFonts w:ascii="方正仿宋简体" w:eastAsia="方正仿宋简体" w:hAnsi="方正仿宋简体" w:cs="方正仿宋简体" w:hint="eastAsia"/>
          <w:sz w:val="32"/>
        </w:rPr>
        <w:t>多</w:t>
      </w:r>
      <w:r>
        <w:rPr>
          <w:rFonts w:ascii="方正仿宋简体" w:eastAsia="方正仿宋简体" w:hAnsi="方正仿宋简体" w:cs="方正仿宋简体" w:hint="eastAsia"/>
          <w:sz w:val="32"/>
        </w:rPr>
        <w:t>年来国产</w:t>
      </w:r>
      <w:r>
        <w:rPr>
          <w:rFonts w:ascii="方正仿宋简体" w:eastAsia="方正仿宋简体" w:hAnsi="方正仿宋简体" w:cs="方正仿宋简体" w:hint="eastAsia"/>
          <w:sz w:val="32"/>
        </w:rPr>
        <w:t>大</w:t>
      </w:r>
      <w:r>
        <w:rPr>
          <w:rFonts w:ascii="方正仿宋简体" w:eastAsia="方正仿宋简体" w:hAnsi="方正仿宋简体" w:cs="方正仿宋简体" w:hint="eastAsia"/>
          <w:sz w:val="32"/>
        </w:rPr>
        <w:t>米批发价</w:t>
      </w:r>
      <w:r>
        <w:rPr>
          <w:rFonts w:ascii="方正仿宋简体" w:eastAsia="方正仿宋简体" w:hAnsi="方正仿宋简体" w:cs="方正仿宋简体" w:hint="eastAsia"/>
          <w:sz w:val="32"/>
        </w:rPr>
        <w:t>高</w:t>
      </w:r>
      <w:r>
        <w:rPr>
          <w:rFonts w:ascii="方正仿宋简体" w:eastAsia="方正仿宋简体" w:hAnsi="方正仿宋简体" w:cs="方正仿宋简体" w:hint="eastAsia"/>
          <w:sz w:val="32"/>
        </w:rPr>
        <w:t>于进口</w:t>
      </w:r>
      <w:r>
        <w:rPr>
          <w:rFonts w:ascii="方正仿宋简体" w:eastAsia="方正仿宋简体" w:hAnsi="方正仿宋简体" w:cs="方正仿宋简体" w:hint="eastAsia"/>
          <w:sz w:val="32"/>
        </w:rPr>
        <w:t>大</w:t>
      </w:r>
      <w:r>
        <w:rPr>
          <w:rFonts w:ascii="方正仿宋简体" w:eastAsia="方正仿宋简体" w:hAnsi="方正仿宋简体" w:cs="方正仿宋简体" w:hint="eastAsia"/>
          <w:sz w:val="32"/>
        </w:rPr>
        <w:t>米</w:t>
      </w:r>
      <w:r>
        <w:rPr>
          <w:rFonts w:ascii="方正仿宋简体" w:eastAsia="方正仿宋简体" w:hAnsi="方正仿宋简体" w:cs="方正仿宋简体" w:hint="eastAsia"/>
          <w:sz w:val="32"/>
        </w:rPr>
        <w:t>的情况首次改变</w:t>
      </w:r>
      <w:r>
        <w:rPr>
          <w:rFonts w:ascii="方正仿宋简体" w:eastAsia="方正仿宋简体" w:hAnsi="方正仿宋简体" w:cs="方正仿宋简体" w:hint="eastAsia"/>
          <w:sz w:val="32"/>
        </w:rPr>
        <w:t>。</w:t>
      </w:r>
      <w:bookmarkStart w:id="0" w:name="_GoBack"/>
      <w:bookmarkEnd w:id="0"/>
    </w:p>
    <w:sectPr w:rsidR="00981132">
      <w:footerReference w:type="default" r:id="rId9"/>
      <w:pgSz w:w="11906" w:h="16838"/>
      <w:pgMar w:top="2098" w:right="1474" w:bottom="1984" w:left="1588" w:header="851" w:footer="1587" w:gutter="0"/>
      <w:cols w:space="720"/>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560" w:rsidRDefault="003D3560">
      <w:r>
        <w:separator/>
      </w:r>
    </w:p>
  </w:endnote>
  <w:endnote w:type="continuationSeparator" w:id="0">
    <w:p w:rsidR="003D3560" w:rsidRDefault="003D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方正楷体简体">
    <w:altName w:val="Arial Unicode MS"/>
    <w:charset w:val="86"/>
    <w:family w:val="auto"/>
    <w:pitch w:val="default"/>
    <w:sig w:usb0="00000000" w:usb1="080E0000" w:usb2="0000000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default"/>
    <w:sig w:usb0="00000000" w:usb1="080E0000" w:usb2="00000000" w:usb3="00000000" w:csb0="00040000" w:csb1="00000000"/>
  </w:font>
  <w:font w:name="方正黑体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132" w:rsidRDefault="003D3560">
    <w:pPr>
      <w:pStyle w:val="a3"/>
      <w:ind w:right="360" w:firstLine="360"/>
    </w:pPr>
    <w:r>
      <w:rPr>
        <w:noProof/>
      </w:rPr>
      <mc:AlternateContent>
        <mc:Choice Requires="wps">
          <w:drawing>
            <wp:anchor distT="0" distB="0" distL="114300" distR="114300" simplePos="0" relativeHeight="251698176" behindDoc="0" locked="0" layoutInCell="1" allowOverlap="1">
              <wp:simplePos x="0" y="0"/>
              <wp:positionH relativeFrom="margin">
                <wp:align>outside</wp:align>
              </wp:positionH>
              <wp:positionV relativeFrom="paragraph">
                <wp:posOffset>-9525</wp:posOffset>
              </wp:positionV>
              <wp:extent cx="577850" cy="233045"/>
              <wp:effectExtent l="0" t="0" r="0" b="0"/>
              <wp:wrapNone/>
              <wp:docPr id="5" name="文本框 5"/>
              <wp:cNvGraphicFramePr/>
              <a:graphic xmlns:a="http://schemas.openxmlformats.org/drawingml/2006/main">
                <a:graphicData uri="http://schemas.microsoft.com/office/word/2010/wordprocessingShape">
                  <wps:wsp>
                    <wps:cNvSpPr txBox="1"/>
                    <wps:spPr>
                      <a:xfrm>
                        <a:off x="0" y="0"/>
                        <a:ext cx="577850" cy="2330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81132" w:rsidRDefault="003D3560">
                          <w:pPr>
                            <w:snapToGrid w:val="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511C32">
                            <w:rPr>
                              <w:rFonts w:ascii="Times New Roman" w:hAnsi="Times New Roman" w:cs="Times New Roman"/>
                              <w:noProof/>
                              <w:sz w:val="28"/>
                              <w:szCs w:val="28"/>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ascii="Times New Roman" w:hAnsi="Times New Roman" w:cs="Times New Roman"/>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5.7pt;margin-top:-.75pt;width:45.5pt;height:18.35pt;z-index:251698176;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" filled="f" stroked="f" strokeweight=".5pt">
              <v:textbox inset="0,0,0,0">
                <w:txbxContent>
                  <w:p w:rsidR="00981132" w:rsidRDefault="003D3560">
                    <w:pPr>
                      <w:snapToGrid w:val="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511C32">
                      <w:rPr>
                        <w:rFonts w:ascii="Times New Roman" w:hAnsi="Times New Roman" w:cs="Times New Roman"/>
                        <w:noProof/>
                        <w:sz w:val="28"/>
                        <w:szCs w:val="28"/>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ascii="Times New Roman" w:hAnsi="Times New Roman" w:cs="Times New Roman"/>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560" w:rsidRDefault="003D3560">
      <w:r>
        <w:separator/>
      </w:r>
    </w:p>
  </w:footnote>
  <w:footnote w:type="continuationSeparator" w:id="0">
    <w:p w:rsidR="003D3560" w:rsidRDefault="003D35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282C01"/>
    <w:rsid w:val="003D3560"/>
    <w:rsid w:val="00511C32"/>
    <w:rsid w:val="00981132"/>
    <w:rsid w:val="03282C01"/>
    <w:rsid w:val="11883694"/>
    <w:rsid w:val="257319C6"/>
    <w:rsid w:val="2AFA2345"/>
    <w:rsid w:val="355F26FC"/>
    <w:rsid w:val="4E9051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14D11A13-265C-41A8-9166-A6A422780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hAnsi="宋体"/>
      <w:kern w:val="0"/>
      <w:sz w:val="24"/>
    </w:rPr>
  </w:style>
  <w:style w:type="paragraph" w:customStyle="1" w:styleId="Char1">
    <w:name w:val="Char1"/>
    <w:basedOn w:val="NewNewNewNewNewNewNewNewNewNewNewNewNewNewNewNewNewNewNewNewNewNewNewNewNewNewNewNewNewNewNewNewNewNewNewNewNewNewNewNewNewNewNewNewNewNewNewNewNewNewNewNewNewNewNewNewNewNewNewNewNewNewNe"/>
    <w:qFormat/>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0">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
    <w:name w:val="正文 New"/>
    <w:qFormat/>
    <w:pPr>
      <w:widowControl w:val="0"/>
      <w:jc w:val="both"/>
    </w:pPr>
    <w:rPr>
      <w:rFonts w:ascii="Calibri" w:hAnsi="Calibri"/>
      <w:kern w:val="2"/>
      <w:sz w:val="21"/>
      <w:szCs w:val="24"/>
    </w:rPr>
  </w:style>
  <w:style w:type="paragraph" w:customStyle="1" w:styleId="1">
    <w:name w:val="普通(网站)1"/>
    <w:basedOn w:val="10"/>
    <w:qFormat/>
    <w:rPr>
      <w:sz w:val="24"/>
    </w:rPr>
  </w:style>
  <w:style w:type="paragraph" w:customStyle="1" w:styleId="10">
    <w:name w:val="正文1"/>
    <w:qFormat/>
    <w:pPr>
      <w:jc w:val="both"/>
    </w:pPr>
    <w:rPr>
      <w:rFonts w:eastAsia="宋体"/>
      <w:kern w:val="2"/>
      <w:sz w:val="21"/>
      <w:szCs w:val="22"/>
    </w:rPr>
  </w:style>
  <w:style w:type="paragraph" w:customStyle="1" w:styleId="New0">
    <w:name w:val="普通(网站) New"/>
    <w:basedOn w:val="New"/>
    <w:qFormat/>
    <w:rPr>
      <w:sz w:val="24"/>
    </w:rPr>
  </w:style>
  <w:style w:type="character" w:customStyle="1" w:styleId="fontstyle01">
    <w:name w:val="fontstyle01"/>
    <w:basedOn w:val="a0"/>
    <w:qFormat/>
    <w:rPr>
      <w:rFonts w:ascii="仿宋_GB2312" w:eastAsia="仿宋_GB2312" w:hAnsi="仿宋_GB2312" w:cs="仿宋_GB2312"/>
      <w:color w:val="000000"/>
      <w:sz w:val="24"/>
      <w:szCs w:val="24"/>
    </w:rPr>
  </w:style>
  <w:style w:type="paragraph" w:customStyle="1" w:styleId="NewNewNewNewNewNewNewNewNewNewNewNewNewNewNewNewNewNewNewNewNewNewNewNewNewNewNewNewNewNewNewNewNewNewNewNewNewNewNewNewNewNewNewNewNewNewNewNewNewNewNewNewNewNewNewNewNewNewNewNewNewNewNe1">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3">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5">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6">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
    <w:name w:val="正文 New New New New New New New New New New New New"/>
    <w:qFormat/>
    <w:pPr>
      <w:widowControl w:val="0"/>
      <w:jc w:val="both"/>
    </w:pPr>
    <w:rPr>
      <w:rFonts w:eastAsia="宋体"/>
      <w:kern w:val="2"/>
      <w:sz w:val="21"/>
      <w:szCs w:val="22"/>
    </w:rPr>
  </w:style>
  <w:style w:type="paragraph" w:customStyle="1" w:styleId="NewNewNewNewNewNew">
    <w:name w:val="正文 New New New New New New"/>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7">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
    <w:name w:val="正文 New New New New New New New"/>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8">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9">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a">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b">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c">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d">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
    <w:name w:val="普通(网站) New New"/>
    <w:basedOn w:val="NewNewNewNewNewNewNew"/>
    <w:qFormat/>
    <w:pPr>
      <w:widowControl/>
      <w:jc w:val="left"/>
    </w:pPr>
    <w:rPr>
      <w:rFonts w:ascii="宋体" w:hAnsi="宋体" w:cs="宋体"/>
      <w:kern w:val="0"/>
      <w:sz w:val="24"/>
    </w:rPr>
  </w:style>
  <w:style w:type="character" w:customStyle="1" w:styleId="16">
    <w:name w:val="16"/>
    <w:basedOn w:val="a0"/>
    <w:qFormat/>
    <w:rPr>
      <w:rFonts w:ascii="仿宋_GB2312" w:eastAsia="仿宋_GB2312" w:hint="eastAsia"/>
      <w:sz w:val="30"/>
      <w:szCs w:val="30"/>
    </w:rPr>
  </w:style>
  <w:style w:type="paragraph" w:customStyle="1" w:styleId="NewNewNewNewNewNewNewNewNewNewNewNewNew">
    <w:name w:val="正文 New New New New New New New New New New New New New"/>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f">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杨雪丽</dc:creator>
  <cp:lastModifiedBy>吴 洪鑫</cp:lastModifiedBy>
  <cp:revision>3</cp:revision>
  <cp:lastPrinted>2018-04-19T06:43:00Z</cp:lastPrinted>
  <dcterms:created xsi:type="dcterms:W3CDTF">2018-04-04T08:22:00Z</dcterms:created>
  <dcterms:modified xsi:type="dcterms:W3CDTF">2019-06-04T07:48:00Z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